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6556B5" w:rsidP="001E28B6">
      <w:pPr>
        <w:spacing w:before="240" w:after="240" w:line="360" w:lineRule="auto"/>
        <w:jc w:val="both"/>
        <w:rPr>
          <w:rFonts w:ascii="Palatino Linotype" w:hAnsi="Palatino Linotype"/>
          <w:b/>
          <w:sz w:val="24"/>
          <w:szCs w:val="24"/>
        </w:rPr>
      </w:pPr>
      <w:r>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TERCERA</w:t>
      </w:r>
      <w:r w:rsidR="00907451"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Pr>
          <w:rFonts w:ascii="Palatino Linotype" w:hAnsi="Palatino Linotype"/>
          <w:b/>
          <w:sz w:val="24"/>
          <w:szCs w:val="24"/>
        </w:rPr>
        <w:t>VEINTITRÉS DE ENERO</w:t>
      </w:r>
      <w:r w:rsidR="00004FA2">
        <w:rPr>
          <w:rFonts w:ascii="Palatino Linotype" w:hAnsi="Palatino Linotype"/>
          <w:b/>
          <w:sz w:val="24"/>
          <w:szCs w:val="24"/>
        </w:rPr>
        <w:t xml:space="preserve"> DE DOS MIL DIECI</w:t>
      </w:r>
      <w:r>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EN </w:t>
      </w:r>
      <w:r w:rsidR="00965A2E">
        <w:rPr>
          <w:rFonts w:ascii="Palatino Linotype" w:hAnsi="Palatino Linotype"/>
          <w:b/>
          <w:sz w:val="24"/>
          <w:szCs w:val="24"/>
        </w:rPr>
        <w:t>EL</w:t>
      </w:r>
      <w:r w:rsidR="000607BA" w:rsidRPr="00642D91">
        <w:rPr>
          <w:rFonts w:ascii="Palatino Linotype" w:hAnsi="Palatino Linotype"/>
          <w:b/>
          <w:sz w:val="24"/>
          <w:szCs w:val="24"/>
        </w:rPr>
        <w:t xml:space="preserve"> RECURSO DE REVISIÓN 0</w:t>
      </w:r>
      <w:r>
        <w:rPr>
          <w:rFonts w:ascii="Palatino Linotype" w:hAnsi="Palatino Linotype"/>
          <w:b/>
          <w:sz w:val="24"/>
          <w:szCs w:val="24"/>
        </w:rPr>
        <w:t>4173</w:t>
      </w:r>
      <w:r w:rsidR="000607BA" w:rsidRPr="00642D91">
        <w:rPr>
          <w:rFonts w:ascii="Palatino Linotype" w:hAnsi="Palatino Linotype"/>
          <w:b/>
          <w:sz w:val="24"/>
          <w:szCs w:val="24"/>
        </w:rPr>
        <w:t>/INFOEM/IP/RR/201</w:t>
      </w:r>
      <w:r w:rsidR="002A5208">
        <w:rPr>
          <w:rFonts w:ascii="Palatino Linotype" w:hAnsi="Palatino Linotype"/>
          <w:b/>
          <w:sz w:val="24"/>
          <w:szCs w:val="24"/>
        </w:rPr>
        <w:t>8</w:t>
      </w:r>
      <w:r w:rsidR="000607BA" w:rsidRPr="00642D91">
        <w:rPr>
          <w:rFonts w:ascii="Palatino Linotype" w:hAnsi="Palatino Linotype"/>
          <w:b/>
          <w:sz w:val="24"/>
          <w:szCs w:val="24"/>
        </w:rPr>
        <w:t>.</w:t>
      </w:r>
    </w:p>
    <w:p w:rsidR="00292C17" w:rsidRDefault="00C47969" w:rsidP="000E44AD">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6556B5">
        <w:rPr>
          <w:rFonts w:ascii="Palatino Linotype" w:hAnsi="Palatino Linotype"/>
          <w:b/>
          <w:sz w:val="24"/>
          <w:szCs w:val="24"/>
        </w:rPr>
        <w:t>modifi</w:t>
      </w:r>
      <w:r w:rsidR="00965A2E">
        <w:rPr>
          <w:rFonts w:ascii="Palatino Linotype" w:hAnsi="Palatino Linotype"/>
          <w:b/>
          <w:sz w:val="24"/>
          <w:szCs w:val="24"/>
        </w:rPr>
        <w:t xml:space="preserve">car </w:t>
      </w:r>
      <w:r w:rsidR="00965A2E">
        <w:rPr>
          <w:rFonts w:ascii="Palatino Linotype" w:hAnsi="Palatino Linotype"/>
          <w:sz w:val="24"/>
          <w:szCs w:val="24"/>
        </w:rPr>
        <w:t xml:space="preserve">la respuesta dada por el Ayuntamiento de </w:t>
      </w:r>
      <w:r w:rsidR="006556B5">
        <w:rPr>
          <w:rFonts w:ascii="Palatino Linotype" w:hAnsi="Palatino Linotype"/>
          <w:sz w:val="24"/>
          <w:szCs w:val="24"/>
        </w:rPr>
        <w:t>Toluca</w:t>
      </w:r>
      <w:r>
        <w:rPr>
          <w:rFonts w:ascii="Palatino Linotype" w:hAnsi="Palatino Linotype"/>
          <w:sz w:val="24"/>
          <w:szCs w:val="24"/>
        </w:rPr>
        <w:t xml:space="preserve"> </w:t>
      </w:r>
      <w:r w:rsidR="00004FA2">
        <w:rPr>
          <w:rFonts w:ascii="Palatino Linotype" w:hAnsi="Palatino Linotype"/>
          <w:sz w:val="24"/>
          <w:szCs w:val="24"/>
        </w:rPr>
        <w:t xml:space="preserve">a fin de </w:t>
      </w:r>
      <w:r w:rsidR="00965A2E">
        <w:rPr>
          <w:rFonts w:ascii="Palatino Linotype" w:hAnsi="Palatino Linotype"/>
          <w:sz w:val="24"/>
          <w:szCs w:val="24"/>
        </w:rPr>
        <w:t xml:space="preserve">ordenar la entrega </w:t>
      </w:r>
      <w:r w:rsidR="002A5208">
        <w:rPr>
          <w:rFonts w:ascii="Palatino Linotype" w:hAnsi="Palatino Linotype"/>
          <w:sz w:val="24"/>
          <w:szCs w:val="24"/>
        </w:rPr>
        <w:t xml:space="preserve">de licencia de </w:t>
      </w:r>
      <w:r w:rsidR="006556B5">
        <w:rPr>
          <w:rFonts w:ascii="Palatino Linotype" w:hAnsi="Palatino Linotype"/>
          <w:sz w:val="24"/>
          <w:szCs w:val="24"/>
        </w:rPr>
        <w:t xml:space="preserve">funcionamiento correspondiente a los ejercicios fiscales 2016 y 2017 del establecimiento comercial </w:t>
      </w:r>
      <w:r w:rsidR="006556B5" w:rsidRPr="004076EA">
        <w:rPr>
          <w:rFonts w:ascii="Palatino Linotype" w:eastAsia="Times New Roman" w:hAnsi="Palatino Linotype" w:cs="Times New Roman"/>
          <w:i/>
          <w:szCs w:val="14"/>
          <w:lang w:val="es-ES"/>
        </w:rPr>
        <w:t xml:space="preserve">"Terraza XX" </w:t>
      </w:r>
      <w:r w:rsidR="002A5208">
        <w:rPr>
          <w:rFonts w:ascii="Palatino Linotype" w:hAnsi="Palatino Linotype"/>
          <w:sz w:val="24"/>
          <w:szCs w:val="24"/>
        </w:rPr>
        <w:t xml:space="preserve">en versión pública </w:t>
      </w:r>
      <w:r w:rsidR="00965A2E" w:rsidRPr="00055312">
        <w:rPr>
          <w:rFonts w:ascii="Palatino Linotype" w:hAnsi="Palatino Linotype" w:cs="Arial"/>
          <w:sz w:val="24"/>
          <w:szCs w:val="24"/>
        </w:rPr>
        <w:t>en términos de los artículos 49 fracción VIII, 132 fracción II de la Ley de Transparencia y Acceso a la Información Pública del Estado de México y Municipios</w:t>
      </w:r>
      <w:r w:rsidR="00292C17">
        <w:rPr>
          <w:rFonts w:ascii="Palatino Linotype" w:hAnsi="Palatino Linotype" w:cs="Arial"/>
          <w:sz w:val="24"/>
          <w:szCs w:val="24"/>
        </w:rPr>
        <w:t>,</w:t>
      </w:r>
      <w:r w:rsidR="00965A2E">
        <w:rPr>
          <w:rFonts w:ascii="Palatino Linotype" w:eastAsia="Arial Unicode MS" w:hAnsi="Palatino Linotype" w:cs="Arial"/>
          <w:sz w:val="24"/>
          <w:szCs w:val="24"/>
        </w:rPr>
        <w:t xml:space="preserve"> al </w:t>
      </w:r>
      <w:r w:rsidR="00462661">
        <w:rPr>
          <w:rFonts w:ascii="Palatino Linotype" w:eastAsia="Arial Unicode MS" w:hAnsi="Palatino Linotype" w:cs="Arial"/>
          <w:sz w:val="24"/>
          <w:szCs w:val="24"/>
        </w:rPr>
        <w:t>considerar</w:t>
      </w:r>
      <w:r w:rsidR="00965A2E">
        <w:rPr>
          <w:rFonts w:ascii="Palatino Linotype" w:eastAsia="Arial Unicode MS" w:hAnsi="Palatino Linotype" w:cs="Arial"/>
          <w:sz w:val="24"/>
          <w:szCs w:val="24"/>
        </w:rPr>
        <w:t xml:space="preserve"> que</w:t>
      </w:r>
      <w:r w:rsidR="00292C17">
        <w:rPr>
          <w:rFonts w:ascii="Palatino Linotype" w:eastAsia="Arial Unicode MS" w:hAnsi="Palatino Linotype" w:cs="Arial"/>
          <w:sz w:val="24"/>
          <w:szCs w:val="24"/>
        </w:rPr>
        <w:t xml:space="preserve"> a las mismas, les reviste </w:t>
      </w:r>
      <w:r w:rsidR="00965A2E">
        <w:rPr>
          <w:rFonts w:ascii="Palatino Linotype" w:eastAsia="Arial Unicode MS" w:hAnsi="Palatino Linotype" w:cs="Arial"/>
          <w:sz w:val="24"/>
          <w:szCs w:val="24"/>
        </w:rPr>
        <w:t xml:space="preserve"> </w:t>
      </w:r>
      <w:r w:rsidR="00292C17" w:rsidRPr="00500A79">
        <w:rPr>
          <w:rFonts w:ascii="Palatino Linotype" w:eastAsia="Calibri" w:hAnsi="Palatino Linotype" w:cs="Tahoma"/>
          <w:bCs/>
        </w:rPr>
        <w:t>un interés colectivo para la sociedad, dado que el Estado a nivel municipal, es el encargado de regular los establecimientos comerciales o industriales dentro de extensión territorial</w:t>
      </w:r>
      <w:r w:rsidR="00292C17">
        <w:rPr>
          <w:rFonts w:ascii="Palatino Linotype" w:eastAsia="Arial Unicode MS" w:hAnsi="Palatino Linotype" w:cs="Arial"/>
          <w:sz w:val="24"/>
          <w:szCs w:val="24"/>
        </w:rPr>
        <w:t>.</w:t>
      </w:r>
    </w:p>
    <w:p w:rsidR="00370B6B" w:rsidRDefault="00C47969" w:rsidP="000E44AD">
      <w:pPr>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Al respecto, se comparten los términos en que </w:t>
      </w:r>
      <w:r w:rsidR="00F966B7">
        <w:rPr>
          <w:rFonts w:ascii="Palatino Linotype" w:eastAsia="Arial Unicode MS" w:hAnsi="Palatino Linotype" w:cs="Arial"/>
          <w:sz w:val="24"/>
          <w:szCs w:val="24"/>
        </w:rPr>
        <w:t>fue resuelto</w:t>
      </w:r>
      <w:r>
        <w:rPr>
          <w:rFonts w:ascii="Palatino Linotype" w:eastAsia="Arial Unicode MS" w:hAnsi="Palatino Linotype" w:cs="Arial"/>
          <w:sz w:val="24"/>
          <w:szCs w:val="24"/>
        </w:rPr>
        <w:t xml:space="preserve"> </w:t>
      </w:r>
      <w:r w:rsidR="00AE160A">
        <w:rPr>
          <w:rFonts w:ascii="Palatino Linotype" w:eastAsia="Arial Unicode MS" w:hAnsi="Palatino Linotype" w:cs="Arial"/>
          <w:sz w:val="24"/>
          <w:szCs w:val="24"/>
        </w:rPr>
        <w:t>el</w:t>
      </w:r>
      <w:r>
        <w:rPr>
          <w:rFonts w:ascii="Palatino Linotype" w:eastAsia="Arial Unicode MS" w:hAnsi="Palatino Linotype" w:cs="Arial"/>
          <w:sz w:val="24"/>
          <w:szCs w:val="24"/>
        </w:rPr>
        <w:t xml:space="preserve"> recurso de revisión, </w:t>
      </w:r>
      <w:r w:rsidR="00CF1906">
        <w:rPr>
          <w:rFonts w:ascii="Palatino Linotype" w:eastAsia="Arial Unicode MS" w:hAnsi="Palatino Linotype" w:cs="Arial"/>
          <w:sz w:val="24"/>
          <w:szCs w:val="24"/>
        </w:rPr>
        <w:t>s</w:t>
      </w:r>
      <w:r w:rsidR="00132EFB">
        <w:rPr>
          <w:rFonts w:ascii="Palatino Linotype" w:eastAsia="Arial Unicode MS" w:hAnsi="Palatino Linotype" w:cs="Arial"/>
          <w:sz w:val="24"/>
          <w:szCs w:val="24"/>
        </w:rPr>
        <w:t>in embargo, considero</w:t>
      </w:r>
      <w:r w:rsidR="00CF1906">
        <w:rPr>
          <w:rFonts w:ascii="Palatino Linotype" w:eastAsia="Arial Unicode MS" w:hAnsi="Palatino Linotype" w:cs="Arial"/>
          <w:sz w:val="24"/>
          <w:szCs w:val="24"/>
        </w:rPr>
        <w:t xml:space="preserve"> </w:t>
      </w:r>
      <w:r w:rsidR="00AE160A">
        <w:rPr>
          <w:rFonts w:ascii="Palatino Linotype" w:eastAsia="Arial Unicode MS" w:hAnsi="Palatino Linotype" w:cs="Arial"/>
          <w:sz w:val="24"/>
          <w:szCs w:val="24"/>
        </w:rPr>
        <w:t xml:space="preserve">necesario </w:t>
      </w:r>
      <w:r w:rsidR="00370B6B">
        <w:rPr>
          <w:rFonts w:ascii="Palatino Linotype" w:eastAsia="Arial Unicode MS" w:hAnsi="Palatino Linotype" w:cs="Arial"/>
          <w:sz w:val="24"/>
          <w:szCs w:val="24"/>
        </w:rPr>
        <w:t xml:space="preserve">precisar que en términos de la fracción XXIV del artículo 31 de la Ley Orgánica Municipal del Estado de México, le corresponde a los </w:t>
      </w:r>
      <w:r w:rsidR="00370B6B">
        <w:rPr>
          <w:rFonts w:ascii="Palatino Linotype" w:eastAsia="Arial Unicode MS" w:hAnsi="Palatino Linotype" w:cs="Arial"/>
          <w:sz w:val="24"/>
          <w:szCs w:val="24"/>
        </w:rPr>
        <w:lastRenderedPageBreak/>
        <w:t>Ayuntamientos otorgar a las unidades económicas que tengan como actividad complementaria o principal la venta de bebidas alcohólicas, licencia de funcionamiento, mismas que tendrá una vigencia de cinco años y deberá ser refrendada de manera anual, con independencia de que pueden ser sujetos de visitas de verificación para constatar el cumplimiento de las disposiciones jurídicas aplicables.</w:t>
      </w:r>
    </w:p>
    <w:p w:rsidR="00FA211D" w:rsidRDefault="00370B6B" w:rsidP="00FA211D">
      <w:pPr>
        <w:spacing w:before="240" w:after="240" w:line="360" w:lineRule="auto"/>
        <w:jc w:val="both"/>
        <w:rPr>
          <w:rFonts w:ascii="Palatino Linotype" w:eastAsia="Arial Unicode MS" w:hAnsi="Palatino Linotype" w:cs="Arial"/>
          <w:sz w:val="24"/>
          <w:szCs w:val="24"/>
        </w:rPr>
      </w:pPr>
      <w:r w:rsidRPr="00370B6B">
        <w:rPr>
          <w:rFonts w:ascii="Palatino Linotype" w:eastAsia="Arial Unicode MS" w:hAnsi="Palatino Linotype" w:cs="Arial"/>
          <w:sz w:val="24"/>
          <w:szCs w:val="24"/>
        </w:rPr>
        <w:t xml:space="preserve">Ahora bien, en términos </w:t>
      </w:r>
      <w:r>
        <w:rPr>
          <w:rFonts w:ascii="Palatino Linotype" w:eastAsia="Arial Unicode MS" w:hAnsi="Palatino Linotype" w:cs="Arial"/>
          <w:sz w:val="24"/>
          <w:szCs w:val="24"/>
        </w:rPr>
        <w:t>del ar</w:t>
      </w:r>
      <w:r w:rsidRPr="00370B6B">
        <w:rPr>
          <w:rFonts w:ascii="Palatino Linotype" w:eastAsia="Arial Unicode MS" w:hAnsi="Palatino Linotype" w:cs="Arial"/>
          <w:sz w:val="24"/>
          <w:szCs w:val="24"/>
        </w:rPr>
        <w:t>t</w:t>
      </w:r>
      <w:r>
        <w:rPr>
          <w:rFonts w:ascii="Palatino Linotype" w:eastAsia="Arial Unicode MS" w:hAnsi="Palatino Linotype" w:cs="Arial"/>
          <w:sz w:val="24"/>
          <w:szCs w:val="24"/>
        </w:rPr>
        <w:t>ículo 80, párrafo tercero del Bando Municipal del ejercicio fiscal 2016, dispone que tratándose de licencias de funcionamiento para establecimientos mercantiles que autoricen la venta de bebidas alcohólicas la expedirá el Presidente Municipal p</w:t>
      </w:r>
      <w:r w:rsidR="00FA211D">
        <w:rPr>
          <w:rFonts w:ascii="Palatino Linotype" w:eastAsia="Arial Unicode MS" w:hAnsi="Palatino Linotype" w:cs="Arial"/>
          <w:sz w:val="24"/>
          <w:szCs w:val="24"/>
        </w:rPr>
        <w:t>revio acuerdo del Ayuntamiento.</w:t>
      </w:r>
    </w:p>
    <w:p w:rsidR="005C6B76" w:rsidRDefault="00116133" w:rsidP="0026594A">
      <w:pPr>
        <w:spacing w:before="240" w:after="240" w:line="360" w:lineRule="auto"/>
        <w:jc w:val="both"/>
        <w:rPr>
          <w:rFonts w:ascii="Palatino Linotype" w:eastAsia="Arial Unicode MS" w:hAnsi="Palatino Linotype" w:cs="Arial"/>
          <w:sz w:val="24"/>
          <w:szCs w:val="24"/>
        </w:rPr>
      </w:pPr>
      <w:r w:rsidRPr="00FA211D">
        <w:rPr>
          <w:rFonts w:ascii="Palatino Linotype" w:eastAsia="Arial Unicode MS" w:hAnsi="Palatino Linotype" w:cs="Arial"/>
          <w:sz w:val="24"/>
          <w:szCs w:val="24"/>
        </w:rPr>
        <w:t xml:space="preserve">Consecuentemente, </w:t>
      </w:r>
      <w:r w:rsidR="00500270" w:rsidRPr="00FA211D">
        <w:rPr>
          <w:rFonts w:ascii="Palatino Linotype" w:eastAsia="Arial Unicode MS" w:hAnsi="Palatino Linotype" w:cs="Arial"/>
          <w:sz w:val="24"/>
          <w:szCs w:val="24"/>
        </w:rPr>
        <w:t>la autoridad municipal regula</w:t>
      </w:r>
      <w:r w:rsidRPr="00FA211D">
        <w:rPr>
          <w:rFonts w:ascii="Palatino Linotype" w:eastAsia="Arial Unicode MS" w:hAnsi="Palatino Linotype" w:cs="Arial"/>
          <w:sz w:val="24"/>
          <w:szCs w:val="24"/>
        </w:rPr>
        <w:t xml:space="preserve"> </w:t>
      </w:r>
      <w:r w:rsidR="00500270" w:rsidRPr="00FA211D">
        <w:rPr>
          <w:rFonts w:ascii="Palatino Linotype" w:eastAsia="Arial Unicode MS" w:hAnsi="Palatino Linotype" w:cs="Arial"/>
          <w:sz w:val="24"/>
          <w:szCs w:val="24"/>
        </w:rPr>
        <w:t xml:space="preserve">en sus </w:t>
      </w:r>
      <w:r w:rsidR="00677243" w:rsidRPr="00FA211D">
        <w:rPr>
          <w:rFonts w:ascii="Palatino Linotype" w:eastAsia="Arial Unicode MS" w:hAnsi="Palatino Linotype" w:cs="Arial"/>
          <w:sz w:val="24"/>
          <w:szCs w:val="24"/>
        </w:rPr>
        <w:t>reglamentos</w:t>
      </w:r>
      <w:r w:rsidR="00500270" w:rsidRPr="00FA211D">
        <w:rPr>
          <w:rFonts w:ascii="Palatino Linotype" w:eastAsia="Arial Unicode MS" w:hAnsi="Palatino Linotype" w:cs="Arial"/>
          <w:sz w:val="24"/>
          <w:szCs w:val="24"/>
        </w:rPr>
        <w:t xml:space="preserve"> respectivos, los requisitos par</w:t>
      </w:r>
      <w:r w:rsidR="00FA211D" w:rsidRPr="00FA211D">
        <w:rPr>
          <w:rFonts w:ascii="Palatino Linotype" w:eastAsia="Arial Unicode MS" w:hAnsi="Palatino Linotype" w:cs="Arial"/>
          <w:sz w:val="24"/>
          <w:szCs w:val="24"/>
        </w:rPr>
        <w:t xml:space="preserve">a la obtención de las licencias, </w:t>
      </w:r>
      <w:r w:rsidR="005C6B76">
        <w:rPr>
          <w:rFonts w:ascii="Palatino Linotype" w:eastAsia="Arial Unicode MS" w:hAnsi="Palatino Linotype" w:cs="Arial"/>
          <w:sz w:val="24"/>
          <w:szCs w:val="24"/>
        </w:rPr>
        <w:t>y por ende</w:t>
      </w:r>
      <w:r w:rsidR="00FA211D" w:rsidRPr="00FA211D">
        <w:rPr>
          <w:rFonts w:ascii="Palatino Linotype" w:eastAsia="Arial Unicode MS" w:hAnsi="Palatino Linotype" w:cs="Arial"/>
          <w:sz w:val="24"/>
          <w:szCs w:val="24"/>
        </w:rPr>
        <w:t xml:space="preserve"> le </w:t>
      </w:r>
      <w:r w:rsidR="00B82B6A" w:rsidRPr="00FA211D">
        <w:rPr>
          <w:rFonts w:ascii="Palatino Linotype" w:eastAsia="Arial Unicode MS" w:hAnsi="Palatino Linotype" w:cs="Arial"/>
          <w:sz w:val="24"/>
          <w:szCs w:val="24"/>
        </w:rPr>
        <w:t>reviste el carácter de pública</w:t>
      </w:r>
      <w:r w:rsidR="005C6B76">
        <w:rPr>
          <w:rFonts w:ascii="Palatino Linotype" w:eastAsia="Arial Unicode MS" w:hAnsi="Palatino Linotype" w:cs="Arial"/>
          <w:sz w:val="24"/>
          <w:szCs w:val="24"/>
        </w:rPr>
        <w:t xml:space="preserve"> en términos del párrafo segundo, artículo 4 de la Ley de Transparencia y Acceso a la Información Pública del Estado de México y Municipios</w:t>
      </w:r>
      <w:r w:rsidR="00FA211D" w:rsidRPr="00FA211D">
        <w:rPr>
          <w:rFonts w:ascii="Palatino Linotype" w:eastAsia="Arial Unicode MS" w:hAnsi="Palatino Linotype" w:cs="Arial"/>
          <w:sz w:val="24"/>
          <w:szCs w:val="24"/>
        </w:rPr>
        <w:t xml:space="preserve">, pues como lo argumentó la Ponencia, es el </w:t>
      </w:r>
      <w:r w:rsidR="00FA211D" w:rsidRPr="00FA211D">
        <w:rPr>
          <w:rFonts w:ascii="Palatino Linotype" w:eastAsia="Calibri" w:hAnsi="Palatino Linotype" w:cs="Tahoma"/>
          <w:bCs/>
          <w:sz w:val="24"/>
          <w:szCs w:val="24"/>
        </w:rPr>
        <w:t>documento que contiene la autorización por parte del Ayuntamiento para que un particular pueda realizar una actividad económica, comercial o industrial, regulada por las Leyes respectivas.</w:t>
      </w:r>
      <w:r w:rsidR="005C6B76">
        <w:rPr>
          <w:rFonts w:ascii="Palatino Linotype" w:eastAsia="Calibri" w:hAnsi="Palatino Linotype" w:cs="Tahoma"/>
          <w:bCs/>
          <w:sz w:val="24"/>
          <w:szCs w:val="24"/>
        </w:rPr>
        <w:t xml:space="preserve"> </w:t>
      </w:r>
      <w:r w:rsidR="005C6B76">
        <w:rPr>
          <w:rFonts w:ascii="Palatino Linotype" w:eastAsia="Arial Unicode MS" w:hAnsi="Palatino Linotype" w:cs="Arial"/>
          <w:sz w:val="24"/>
          <w:szCs w:val="24"/>
        </w:rPr>
        <w:t>En virtud, que permite</w:t>
      </w:r>
      <w:r w:rsidR="006C2F7B">
        <w:rPr>
          <w:rFonts w:ascii="Palatino Linotype" w:eastAsia="Arial Unicode MS" w:hAnsi="Palatino Linotype" w:cs="Arial"/>
          <w:sz w:val="24"/>
          <w:szCs w:val="24"/>
        </w:rPr>
        <w:t xml:space="preserve"> </w:t>
      </w:r>
      <w:r w:rsidR="0070725B">
        <w:rPr>
          <w:rFonts w:ascii="Palatino Linotype" w:eastAsia="Arial Unicode MS" w:hAnsi="Palatino Linotype" w:cs="Arial"/>
          <w:sz w:val="24"/>
          <w:szCs w:val="24"/>
        </w:rPr>
        <w:t>conocer</w:t>
      </w:r>
      <w:r w:rsidR="006C2F7B">
        <w:rPr>
          <w:rFonts w:ascii="Palatino Linotype" w:eastAsia="Arial Unicode MS" w:hAnsi="Palatino Linotype" w:cs="Arial"/>
          <w:sz w:val="24"/>
          <w:szCs w:val="24"/>
        </w:rPr>
        <w:t xml:space="preserve"> si los sujetos obligados actúan en estricto apego a </w:t>
      </w:r>
      <w:r w:rsidR="0070725B">
        <w:rPr>
          <w:rFonts w:ascii="Palatino Linotype" w:eastAsia="Arial Unicode MS" w:hAnsi="Palatino Linotype" w:cs="Arial"/>
          <w:sz w:val="24"/>
          <w:szCs w:val="24"/>
        </w:rPr>
        <w:t>la normatividad establecida;</w:t>
      </w:r>
      <w:r w:rsidR="006C2F7B">
        <w:rPr>
          <w:rFonts w:ascii="Palatino Linotype" w:eastAsia="Arial Unicode MS" w:hAnsi="Palatino Linotype" w:cs="Arial"/>
          <w:sz w:val="24"/>
          <w:szCs w:val="24"/>
        </w:rPr>
        <w:t xml:space="preserve"> no obstante lo anterior, no quiere decir que tod</w:t>
      </w:r>
      <w:r w:rsidR="005C6B76">
        <w:rPr>
          <w:rFonts w:ascii="Palatino Linotype" w:eastAsia="Arial Unicode MS" w:hAnsi="Palatino Linotype" w:cs="Arial"/>
          <w:sz w:val="24"/>
          <w:szCs w:val="24"/>
        </w:rPr>
        <w:t>a la información contenida en la</w:t>
      </w:r>
      <w:r w:rsidR="006C2F7B">
        <w:rPr>
          <w:rFonts w:ascii="Palatino Linotype" w:eastAsia="Arial Unicode MS" w:hAnsi="Palatino Linotype" w:cs="Arial"/>
          <w:sz w:val="24"/>
          <w:szCs w:val="24"/>
        </w:rPr>
        <w:t xml:space="preserve">s mismos tenga en carácter de pública, </w:t>
      </w:r>
      <w:r w:rsidR="005C6B76">
        <w:rPr>
          <w:rFonts w:ascii="Palatino Linotype" w:eastAsia="Arial Unicode MS" w:hAnsi="Palatino Linotype" w:cs="Arial"/>
          <w:sz w:val="24"/>
          <w:szCs w:val="24"/>
        </w:rPr>
        <w:t xml:space="preserve">y aún menos el nombre, </w:t>
      </w:r>
      <w:r w:rsidR="006C2F7B">
        <w:rPr>
          <w:rFonts w:ascii="Palatino Linotype" w:eastAsia="Arial Unicode MS" w:hAnsi="Palatino Linotype" w:cs="Arial"/>
          <w:sz w:val="24"/>
          <w:szCs w:val="24"/>
        </w:rPr>
        <w:t xml:space="preserve">como </w:t>
      </w:r>
      <w:r w:rsidR="005C6B76">
        <w:rPr>
          <w:rFonts w:ascii="Palatino Linotype" w:eastAsia="Arial Unicode MS" w:hAnsi="Palatino Linotype" w:cs="Arial"/>
          <w:sz w:val="24"/>
          <w:szCs w:val="24"/>
        </w:rPr>
        <w:t>fue analizado.</w:t>
      </w:r>
    </w:p>
    <w:p w:rsidR="00880AD9" w:rsidRDefault="005C6B76" w:rsidP="0026594A">
      <w:pPr>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 xml:space="preserve">Toda vez, que no </w:t>
      </w:r>
      <w:r w:rsidR="006C2F7B">
        <w:rPr>
          <w:rFonts w:ascii="Palatino Linotype" w:eastAsia="Arial Unicode MS" w:hAnsi="Palatino Linotype" w:cs="Arial"/>
          <w:sz w:val="24"/>
          <w:szCs w:val="24"/>
        </w:rPr>
        <w:t xml:space="preserve">considero </w:t>
      </w:r>
      <w:r>
        <w:rPr>
          <w:rFonts w:ascii="Palatino Linotype" w:eastAsia="Arial Unicode MS" w:hAnsi="Palatino Linotype" w:cs="Arial"/>
          <w:sz w:val="24"/>
          <w:szCs w:val="24"/>
        </w:rPr>
        <w:t xml:space="preserve">que resulte de interés público que la sociedad pueda identificar a quien se autorizó ejercer la actividad comercial, no obstante, que no involucra el aprovechamiento de bienes, servicios y/o recursos públicos, aunado a que </w:t>
      </w:r>
      <w:r w:rsidR="00880AD9">
        <w:rPr>
          <w:rFonts w:ascii="Palatino Linotype" w:eastAsia="Arial Unicode MS" w:hAnsi="Palatino Linotype" w:cs="Arial"/>
          <w:sz w:val="24"/>
          <w:szCs w:val="24"/>
        </w:rPr>
        <w:t xml:space="preserve">conocer el </w:t>
      </w:r>
      <w:r w:rsidR="00B82B6A">
        <w:rPr>
          <w:rFonts w:ascii="Palatino Linotype" w:eastAsia="Arial Unicode MS" w:hAnsi="Palatino Linotype" w:cs="Arial"/>
          <w:sz w:val="24"/>
          <w:szCs w:val="24"/>
        </w:rPr>
        <w:t>nombre de</w:t>
      </w:r>
      <w:r w:rsidR="006C2F7B">
        <w:rPr>
          <w:rFonts w:ascii="Palatino Linotype" w:eastAsia="Arial Unicode MS" w:hAnsi="Palatino Linotype" w:cs="Arial"/>
          <w:sz w:val="24"/>
          <w:szCs w:val="24"/>
        </w:rPr>
        <w:t xml:space="preserve">l titular </w:t>
      </w:r>
      <w:r w:rsidR="00880AD9">
        <w:rPr>
          <w:rFonts w:ascii="Palatino Linotype" w:eastAsia="Arial Unicode MS" w:hAnsi="Palatino Linotype" w:cs="Arial"/>
          <w:sz w:val="24"/>
          <w:szCs w:val="24"/>
        </w:rPr>
        <w:t>no permite conocer sí se autorizó a quienes cumplen los requisitos establecidos en la normatividad aplicable e incluso si dicha licencia se encuentra vigente.</w:t>
      </w:r>
    </w:p>
    <w:p w:rsidR="00500270" w:rsidRDefault="00880AD9" w:rsidP="0026594A">
      <w:pPr>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Dicho de otro modo, hacer público el nombre de la persona a favor de quien se emitió la licencia de funcionamiento vulnera la esfera más íntima  del titular de los datos personales, al </w:t>
      </w:r>
      <w:r w:rsidR="00B82B6A">
        <w:rPr>
          <w:rFonts w:ascii="Palatino Linotype" w:eastAsia="Arial Unicode MS" w:hAnsi="Palatino Linotype" w:cs="Arial"/>
          <w:sz w:val="24"/>
          <w:szCs w:val="24"/>
        </w:rPr>
        <w:t xml:space="preserve">aportar datos que permiten relacionar a una persona con su </w:t>
      </w:r>
      <w:r>
        <w:rPr>
          <w:rFonts w:ascii="Palatino Linotype" w:eastAsia="Arial Unicode MS" w:hAnsi="Palatino Linotype" w:cs="Arial"/>
          <w:sz w:val="24"/>
          <w:szCs w:val="24"/>
        </w:rPr>
        <w:t xml:space="preserve">patrimonio, en consecuencia debe </w:t>
      </w:r>
      <w:r w:rsidR="006906A8">
        <w:rPr>
          <w:rFonts w:ascii="Palatino Linotype" w:eastAsia="Arial Unicode MS" w:hAnsi="Palatino Linotype" w:cs="Arial"/>
          <w:sz w:val="24"/>
          <w:szCs w:val="24"/>
        </w:rPr>
        <w:t xml:space="preserve">ponderarse </w:t>
      </w:r>
      <w:r>
        <w:rPr>
          <w:rFonts w:ascii="Palatino Linotype" w:eastAsia="Arial Unicode MS" w:hAnsi="Palatino Linotype" w:cs="Arial"/>
          <w:sz w:val="24"/>
          <w:szCs w:val="24"/>
        </w:rPr>
        <w:t xml:space="preserve">la publicación de este con la clasificación, </w:t>
      </w:r>
      <w:r w:rsidR="006906A8">
        <w:rPr>
          <w:rFonts w:ascii="Palatino Linotype" w:eastAsia="Arial Unicode MS" w:hAnsi="Palatino Linotype" w:cs="Arial"/>
          <w:sz w:val="24"/>
          <w:szCs w:val="24"/>
        </w:rPr>
        <w:t>con el propósito de no vulnerar el derecho a la protección de datos personales del titular de las licencias ya referidas, toda vez que no se advierte que exista algún vínculo entre el titular de los datos personales, el Recurrente y el Sujeto Obligado.</w:t>
      </w:r>
    </w:p>
    <w:p w:rsidR="00E52F99" w:rsidRDefault="006906A8" w:rsidP="00E52F99">
      <w:pPr>
        <w:spacing w:before="240" w:after="240" w:line="360" w:lineRule="auto"/>
        <w:jc w:val="both"/>
        <w:rPr>
          <w:rFonts w:ascii="Palatino Linotype" w:hAnsi="Palatino Linotype"/>
          <w:sz w:val="24"/>
          <w:szCs w:val="24"/>
        </w:rPr>
      </w:pPr>
      <w:r>
        <w:rPr>
          <w:rFonts w:ascii="Palatino Linotype" w:eastAsia="Arial Unicode MS" w:hAnsi="Palatino Linotype" w:cs="Arial"/>
          <w:sz w:val="24"/>
          <w:szCs w:val="24"/>
        </w:rPr>
        <w:t xml:space="preserve">En este contexto, el Código Civil del Estado de México establece </w:t>
      </w:r>
      <w:r w:rsidRPr="00726F13">
        <w:rPr>
          <w:rFonts w:ascii="Palatino Linotype" w:hAnsi="Palatino Linotype"/>
          <w:sz w:val="24"/>
          <w:szCs w:val="24"/>
        </w:rPr>
        <w:t>como atributos de la personalidad el nombre,</w:t>
      </w:r>
      <w:r w:rsidR="00E52F99">
        <w:rPr>
          <w:rFonts w:ascii="Palatino Linotype" w:hAnsi="Palatino Linotype"/>
          <w:sz w:val="24"/>
          <w:szCs w:val="24"/>
        </w:rPr>
        <w:t xml:space="preserve"> domicilio, estado civil y patrimonio, los cuales deben ser protegidos por el Estado, de conformidad con los artículos 2.3 y 2.4, que se insertan enseguida para mayor referencia:</w:t>
      </w:r>
    </w:p>
    <w:p w:rsidR="00E52F99" w:rsidRPr="00DA7657" w:rsidRDefault="00E52F99" w:rsidP="00E52F99">
      <w:pPr>
        <w:spacing w:after="0" w:line="240" w:lineRule="auto"/>
        <w:ind w:left="851" w:right="851"/>
        <w:jc w:val="both"/>
        <w:rPr>
          <w:rFonts w:ascii="Palatino Linotype" w:hAnsi="Palatino Linotype"/>
          <w:i/>
          <w:sz w:val="18"/>
          <w:szCs w:val="18"/>
        </w:rPr>
      </w:pPr>
      <w:r w:rsidRPr="00DA7657">
        <w:rPr>
          <w:rFonts w:ascii="Palatino Linotype" w:hAnsi="Palatino Linotype"/>
          <w:i/>
          <w:sz w:val="18"/>
          <w:szCs w:val="18"/>
        </w:rPr>
        <w:t xml:space="preserve">“Atributos de la personalidad </w:t>
      </w:r>
    </w:p>
    <w:p w:rsidR="00E52F99" w:rsidRPr="00DA7657" w:rsidRDefault="00E52F99" w:rsidP="00E52F99">
      <w:pPr>
        <w:spacing w:after="120" w:line="240" w:lineRule="auto"/>
        <w:ind w:left="851" w:right="851"/>
        <w:jc w:val="both"/>
        <w:rPr>
          <w:rFonts w:ascii="Palatino Linotype" w:hAnsi="Palatino Linotype"/>
          <w:i/>
          <w:sz w:val="18"/>
          <w:szCs w:val="18"/>
        </w:rPr>
      </w:pPr>
      <w:r w:rsidRPr="00DA7657">
        <w:rPr>
          <w:rFonts w:ascii="Palatino Linotype" w:hAnsi="Palatino Linotype"/>
          <w:b/>
          <w:i/>
          <w:sz w:val="18"/>
          <w:szCs w:val="18"/>
        </w:rPr>
        <w:t>Artículo 2.3.-</w:t>
      </w:r>
      <w:r w:rsidRPr="00DA7657">
        <w:rPr>
          <w:rFonts w:ascii="Palatino Linotype" w:hAnsi="Palatino Linotype"/>
          <w:i/>
          <w:sz w:val="18"/>
          <w:szCs w:val="18"/>
        </w:rPr>
        <w:t xml:space="preserve"> Los atributos de la personalidad son el nombre, domicilio, estado civil y patrimonio. </w:t>
      </w:r>
    </w:p>
    <w:p w:rsidR="00E52F99" w:rsidRPr="00DA7657" w:rsidRDefault="00E52F99" w:rsidP="00E52F99">
      <w:pPr>
        <w:spacing w:after="0" w:line="240" w:lineRule="auto"/>
        <w:ind w:left="851" w:right="851"/>
        <w:jc w:val="both"/>
        <w:rPr>
          <w:rFonts w:ascii="Palatino Linotype" w:hAnsi="Palatino Linotype"/>
          <w:i/>
          <w:sz w:val="18"/>
          <w:szCs w:val="18"/>
        </w:rPr>
      </w:pPr>
      <w:r w:rsidRPr="00DA7657">
        <w:rPr>
          <w:rFonts w:ascii="Palatino Linotype" w:hAnsi="Palatino Linotype"/>
          <w:i/>
          <w:sz w:val="18"/>
          <w:szCs w:val="18"/>
        </w:rPr>
        <w:t xml:space="preserve">Concepto y naturaleza de los derechos </w:t>
      </w:r>
    </w:p>
    <w:p w:rsidR="00E52F99" w:rsidRPr="00DA7657" w:rsidRDefault="00E52F99" w:rsidP="00E52F99">
      <w:pPr>
        <w:spacing w:after="0" w:line="240" w:lineRule="auto"/>
        <w:ind w:left="851" w:right="851"/>
        <w:jc w:val="both"/>
        <w:rPr>
          <w:rFonts w:ascii="Palatino Linotype" w:hAnsi="Palatino Linotype"/>
          <w:i/>
          <w:sz w:val="18"/>
          <w:szCs w:val="18"/>
        </w:rPr>
      </w:pPr>
      <w:r w:rsidRPr="00DA7657">
        <w:rPr>
          <w:rFonts w:ascii="Palatino Linotype" w:hAnsi="Palatino Linotype"/>
          <w:b/>
          <w:i/>
          <w:sz w:val="18"/>
          <w:szCs w:val="18"/>
        </w:rPr>
        <w:lastRenderedPageBreak/>
        <w:t>Artículo 2.4.-</w:t>
      </w:r>
      <w:r w:rsidRPr="00DA7657">
        <w:rPr>
          <w:rFonts w:ascii="Palatino Linotype" w:hAnsi="Palatino Linotype"/>
          <w:i/>
          <w:sz w:val="18"/>
          <w:szCs w:val="18"/>
        </w:rPr>
        <w:t xml:space="preserve"> Los derechos de la personalidad constituyen el patrimonio moral o afectivo de las personas físicas. Son inalienables, imprescriptibles e irrenunciables, y goza de ellos también la persona jurídica colectiva en lo que sea compatible con su naturaleza. </w:t>
      </w:r>
    </w:p>
    <w:p w:rsidR="00E52F99" w:rsidRPr="00DA7657" w:rsidRDefault="00E52F99" w:rsidP="00E52F99">
      <w:pPr>
        <w:spacing w:after="0" w:line="240" w:lineRule="auto"/>
        <w:ind w:left="851" w:right="851"/>
        <w:jc w:val="both"/>
        <w:rPr>
          <w:rFonts w:ascii="Palatino Linotype" w:hAnsi="Palatino Linotype"/>
          <w:i/>
          <w:sz w:val="18"/>
          <w:szCs w:val="18"/>
        </w:rPr>
      </w:pPr>
      <w:r w:rsidRPr="00DA7657">
        <w:rPr>
          <w:rFonts w:ascii="Palatino Linotype" w:hAnsi="Palatino Linotype"/>
          <w:i/>
          <w:sz w:val="18"/>
          <w:szCs w:val="18"/>
        </w:rPr>
        <w:t>Es deber del Estado proteger, fomentar y desarrollar estos derechos.”</w:t>
      </w:r>
    </w:p>
    <w:p w:rsidR="00EA3ADD" w:rsidRDefault="00EA3ADD" w:rsidP="00EA3AD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Al respecto, la </w:t>
      </w:r>
      <w:r w:rsidRPr="00726F13">
        <w:rPr>
          <w:rFonts w:ascii="Palatino Linotype" w:hAnsi="Palatino Linotype"/>
          <w:sz w:val="24"/>
          <w:szCs w:val="24"/>
        </w:rPr>
        <w:t xml:space="preserve">Ley de Protección de Datos Personales en Posesión de Sujetos Obligados del Estado de México y Municipios </w:t>
      </w:r>
      <w:r>
        <w:rPr>
          <w:rFonts w:ascii="Palatino Linotype" w:hAnsi="Palatino Linotype"/>
          <w:sz w:val="24"/>
          <w:szCs w:val="24"/>
        </w:rPr>
        <w:t xml:space="preserve">dispone que el </w:t>
      </w:r>
      <w:r w:rsidRPr="00726F13">
        <w:rPr>
          <w:rFonts w:ascii="Palatino Linotype" w:hAnsi="Palatino Linotype"/>
          <w:sz w:val="24"/>
          <w:szCs w:val="24"/>
        </w:rPr>
        <w:t>objeto</w:t>
      </w:r>
      <w:r>
        <w:rPr>
          <w:rFonts w:ascii="Palatino Linotype" w:hAnsi="Palatino Linotype"/>
          <w:sz w:val="24"/>
          <w:szCs w:val="24"/>
        </w:rPr>
        <w:t xml:space="preserve"> de la misma es</w:t>
      </w:r>
      <w:r w:rsidR="00B22357">
        <w:rPr>
          <w:rFonts w:ascii="Palatino Linotype" w:hAnsi="Palatino Linotype"/>
          <w:sz w:val="24"/>
          <w:szCs w:val="24"/>
        </w:rPr>
        <w:t>,</w:t>
      </w:r>
      <w:r w:rsidRPr="00726F13">
        <w:rPr>
          <w:rFonts w:ascii="Palatino Linotype" w:hAnsi="Palatino Linotype"/>
          <w:sz w:val="24"/>
          <w:szCs w:val="24"/>
        </w:rPr>
        <w:t xml:space="preserve"> establecer las bases, principios y procedimientos para tutelar y garantizar el derecho que tiene toda persona a la protección de sus datos personales, en posesión de los sujetos obligados,</w:t>
      </w:r>
      <w:r>
        <w:rPr>
          <w:rFonts w:ascii="Palatino Linotype" w:hAnsi="Palatino Linotype"/>
          <w:sz w:val="24"/>
          <w:szCs w:val="24"/>
        </w:rPr>
        <w:t xml:space="preserve"> </w:t>
      </w:r>
      <w:r w:rsidR="00B22357">
        <w:rPr>
          <w:rFonts w:ascii="Palatino Linotype" w:hAnsi="Palatino Linotype"/>
          <w:sz w:val="24"/>
          <w:szCs w:val="24"/>
        </w:rPr>
        <w:t>entendiéndose a éstos, como toda la información que</w:t>
      </w:r>
      <w:r w:rsidR="00B22357" w:rsidRPr="00EA3ADD">
        <w:rPr>
          <w:rFonts w:ascii="Palatino Linotype" w:hAnsi="Palatino Linotype"/>
          <w:i/>
          <w:sz w:val="24"/>
          <w:szCs w:val="24"/>
        </w:rPr>
        <w:t xml:space="preserve"> </w:t>
      </w:r>
      <w:r w:rsidR="00B22357">
        <w:rPr>
          <w:rFonts w:ascii="Palatino Linotype" w:hAnsi="Palatino Linotype"/>
          <w:sz w:val="24"/>
          <w:szCs w:val="24"/>
        </w:rPr>
        <w:t>concierne</w:t>
      </w:r>
      <w:r w:rsidR="00B22357" w:rsidRPr="00EA3ADD">
        <w:rPr>
          <w:rFonts w:ascii="Palatino Linotype" w:hAnsi="Palatino Linotype"/>
          <w:i/>
          <w:sz w:val="24"/>
          <w:szCs w:val="24"/>
        </w:rPr>
        <w:t xml:space="preserv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w:t>
      </w:r>
      <w:r w:rsidR="00B22357">
        <w:rPr>
          <w:rFonts w:ascii="Palatino Linotype" w:hAnsi="Palatino Linotype"/>
          <w:i/>
          <w:sz w:val="24"/>
          <w:szCs w:val="24"/>
        </w:rPr>
        <w:t xml:space="preserve">nformativo físico o electrónico. </w:t>
      </w:r>
      <w:r w:rsidR="00B22357">
        <w:rPr>
          <w:rFonts w:ascii="Palatino Linotype" w:hAnsi="Palatino Linotype"/>
          <w:sz w:val="24"/>
          <w:szCs w:val="24"/>
        </w:rPr>
        <w:t>M</w:t>
      </w:r>
      <w:r w:rsidRPr="00726F13">
        <w:rPr>
          <w:rFonts w:ascii="Palatino Linotype" w:hAnsi="Palatino Linotype"/>
          <w:sz w:val="24"/>
          <w:szCs w:val="24"/>
        </w:rPr>
        <w:t>otivo por el cual</w:t>
      </w:r>
      <w:r w:rsidR="00071225">
        <w:rPr>
          <w:rFonts w:ascii="Palatino Linotype" w:hAnsi="Palatino Linotype"/>
          <w:sz w:val="24"/>
          <w:szCs w:val="24"/>
        </w:rPr>
        <w:t>,</w:t>
      </w:r>
      <w:r w:rsidRPr="00726F13">
        <w:rPr>
          <w:rFonts w:ascii="Palatino Linotype" w:hAnsi="Palatino Linotype"/>
          <w:sz w:val="24"/>
          <w:szCs w:val="24"/>
        </w:rPr>
        <w:t xml:space="preserve"> este Órgano Garante en su carácter de autoridad protectora de datos en el Estado de México, debe garantizar la vida privada o intimidad de las personas frente a situaciones que </w:t>
      </w:r>
      <w:r w:rsidR="002821B5">
        <w:rPr>
          <w:rFonts w:ascii="Palatino Linotype" w:hAnsi="Palatino Linotype"/>
          <w:sz w:val="24"/>
          <w:szCs w:val="24"/>
        </w:rPr>
        <w:t xml:space="preserve">no </w:t>
      </w:r>
      <w:r w:rsidRPr="00726F13">
        <w:rPr>
          <w:rFonts w:ascii="Palatino Linotype" w:hAnsi="Palatino Linotype"/>
          <w:sz w:val="24"/>
          <w:szCs w:val="24"/>
        </w:rPr>
        <w:t>involucren un interés público</w:t>
      </w:r>
      <w:r w:rsidR="00B22357">
        <w:rPr>
          <w:rFonts w:ascii="Palatino Linotype" w:hAnsi="Palatino Linotype"/>
          <w:sz w:val="24"/>
          <w:szCs w:val="24"/>
        </w:rPr>
        <w:t xml:space="preserve">. </w:t>
      </w:r>
    </w:p>
    <w:p w:rsidR="00A97D60" w:rsidRPr="00DA7657" w:rsidRDefault="009F318F" w:rsidP="00EA3ADD">
      <w:pPr>
        <w:spacing w:before="240" w:after="240" w:line="360" w:lineRule="auto"/>
        <w:jc w:val="both"/>
        <w:rPr>
          <w:rFonts w:ascii="Palatino Linotype" w:hAnsi="Palatino Linotype"/>
          <w:i/>
        </w:rPr>
      </w:pPr>
      <w:r>
        <w:rPr>
          <w:rFonts w:ascii="Palatino Linotype" w:hAnsi="Palatino Linotype"/>
          <w:sz w:val="24"/>
          <w:szCs w:val="24"/>
        </w:rPr>
        <w:t xml:space="preserve">De </w:t>
      </w:r>
      <w:r w:rsidR="004339F2">
        <w:rPr>
          <w:rFonts w:ascii="Palatino Linotype" w:hAnsi="Palatino Linotype"/>
          <w:sz w:val="24"/>
          <w:szCs w:val="24"/>
        </w:rPr>
        <w:t xml:space="preserve">igual manera, </w:t>
      </w:r>
      <w:r w:rsidR="004E047A">
        <w:rPr>
          <w:rFonts w:ascii="Palatino Linotype" w:hAnsi="Palatino Linotype"/>
          <w:sz w:val="24"/>
          <w:szCs w:val="24"/>
        </w:rPr>
        <w:t xml:space="preserve">el </w:t>
      </w:r>
      <w:r w:rsidR="004E047A" w:rsidRPr="00DA7657">
        <w:rPr>
          <w:rFonts w:ascii="Palatino Linotype" w:hAnsi="Palatino Linotype"/>
          <w:i/>
        </w:rPr>
        <w:t xml:space="preserve">artículo 6 de la Declaración Universal de los Derechos humanos, en el que se afirma que &lt;&lt;todo ser humano tiene derecho, en todas partes, al reconocimiento de su personalidad jurídica.&gt;&gt;Los ordenamientos jurídicos de los Estados miembros, en general en su orden civil, delimitan con mayor precisión el concepto de personalidad de los seres humanos, entendida como la capacidad de que están dotadas las personas para ser sujetos de relaciones jurídicas, desde su </w:t>
      </w:r>
      <w:r w:rsidR="004E047A" w:rsidRPr="00DA7657">
        <w:rPr>
          <w:rFonts w:ascii="Palatino Linotype" w:hAnsi="Palatino Linotype"/>
          <w:i/>
        </w:rPr>
        <w:lastRenderedPageBreak/>
        <w:t xml:space="preserve">nacimiento hasta su muerte, Los datos personales son, por lo tanto, datos relativos a </w:t>
      </w:r>
      <w:r w:rsidR="004E047A" w:rsidRPr="00DA7657">
        <w:rPr>
          <w:rFonts w:ascii="Palatino Linotype" w:hAnsi="Palatino Linotype"/>
          <w:i/>
          <w:u w:val="single"/>
        </w:rPr>
        <w:t xml:space="preserve">seres vivos </w:t>
      </w:r>
      <w:r w:rsidR="004E047A" w:rsidRPr="00DA7657">
        <w:rPr>
          <w:rFonts w:ascii="Palatino Linotype" w:hAnsi="Palatino Linotype"/>
          <w:i/>
        </w:rPr>
        <w:t>identificados o identificables en principio.</w:t>
      </w:r>
      <w:r w:rsidR="004E047A" w:rsidRPr="00DA7657">
        <w:rPr>
          <w:rStyle w:val="Refdenotaalpie"/>
          <w:rFonts w:ascii="Palatino Linotype" w:hAnsi="Palatino Linotype"/>
          <w:i/>
        </w:rPr>
        <w:footnoteReference w:id="1"/>
      </w:r>
    </w:p>
    <w:p w:rsidR="00EA3ADD" w:rsidRPr="00855197" w:rsidRDefault="00880AD9" w:rsidP="00B22357">
      <w:pPr>
        <w:spacing w:before="240" w:after="240" w:line="360" w:lineRule="auto"/>
        <w:jc w:val="both"/>
        <w:rPr>
          <w:rFonts w:ascii="Palatino Linotype" w:hAnsi="Palatino Linotype"/>
          <w:sz w:val="24"/>
          <w:szCs w:val="24"/>
        </w:rPr>
      </w:pPr>
      <w:r>
        <w:rPr>
          <w:rFonts w:ascii="Palatino Linotype" w:hAnsi="Palatino Linotype"/>
          <w:sz w:val="24"/>
          <w:szCs w:val="24"/>
        </w:rPr>
        <w:t>Por ello, consideró que el actuar del sujeto obligado fue correcto, al suprimir el nombre de la persona titular de la licencia de funcionamiento</w:t>
      </w:r>
      <w:r w:rsidR="0070725B">
        <w:rPr>
          <w:rFonts w:ascii="Palatino Linotype" w:hAnsi="Palatino Linotype"/>
          <w:sz w:val="24"/>
          <w:szCs w:val="24"/>
        </w:rPr>
        <w:t xml:space="preserve">, </w:t>
      </w:r>
      <w:r w:rsidR="00B22357" w:rsidRPr="00855197">
        <w:rPr>
          <w:rFonts w:ascii="Palatino Linotype" w:hAnsi="Palatino Linotype"/>
          <w:sz w:val="24"/>
          <w:szCs w:val="24"/>
        </w:rPr>
        <w:t>toda vez que no se debe perder de vista</w:t>
      </w:r>
      <w:r w:rsidR="0070725B">
        <w:rPr>
          <w:rFonts w:ascii="Palatino Linotype" w:hAnsi="Palatino Linotype"/>
          <w:sz w:val="24"/>
          <w:szCs w:val="24"/>
        </w:rPr>
        <w:t>, que al dejarlo visible lo</w:t>
      </w:r>
      <w:r w:rsidR="00B22357" w:rsidRPr="00855197">
        <w:rPr>
          <w:rFonts w:ascii="Palatino Linotype" w:hAnsi="Palatino Linotype"/>
          <w:sz w:val="24"/>
          <w:szCs w:val="24"/>
        </w:rPr>
        <w:t xml:space="preserve"> hace identificable, aunado a que atentaría contra su patrimonio, en razón de que se otorgaría acceso a terceros</w:t>
      </w:r>
      <w:r w:rsidR="0070725B">
        <w:rPr>
          <w:rFonts w:ascii="Palatino Linotype" w:hAnsi="Palatino Linotype"/>
          <w:sz w:val="24"/>
          <w:szCs w:val="24"/>
        </w:rPr>
        <w:t>;</w:t>
      </w:r>
      <w:r w:rsidR="00B22357" w:rsidRPr="00855197">
        <w:rPr>
          <w:rFonts w:ascii="Palatino Linotype" w:hAnsi="Palatino Linotype"/>
          <w:sz w:val="24"/>
          <w:szCs w:val="24"/>
        </w:rPr>
        <w:t xml:space="preserve"> circunstancia que es contraria al objeto de </w:t>
      </w:r>
      <w:r w:rsidR="0070725B">
        <w:rPr>
          <w:rFonts w:ascii="Palatino Linotype" w:hAnsi="Palatino Linotype"/>
          <w:sz w:val="24"/>
          <w:szCs w:val="24"/>
        </w:rPr>
        <w:t xml:space="preserve">este </w:t>
      </w:r>
      <w:r w:rsidR="00B22357" w:rsidRPr="00855197">
        <w:rPr>
          <w:rFonts w:ascii="Palatino Linotype" w:hAnsi="Palatino Linotype"/>
          <w:sz w:val="24"/>
          <w:szCs w:val="24"/>
        </w:rPr>
        <w:t xml:space="preserve">Instituto, </w:t>
      </w:r>
      <w:r w:rsidR="0070725B">
        <w:rPr>
          <w:rFonts w:ascii="Palatino Linotype" w:hAnsi="Palatino Linotype"/>
          <w:sz w:val="24"/>
          <w:szCs w:val="24"/>
        </w:rPr>
        <w:t xml:space="preserve">considerando que es deber de los Órganos Garantes </w:t>
      </w:r>
      <w:r w:rsidR="00B22357" w:rsidRPr="00855197">
        <w:rPr>
          <w:rFonts w:ascii="Palatino Linotype" w:hAnsi="Palatino Linotype"/>
          <w:sz w:val="24"/>
          <w:szCs w:val="24"/>
        </w:rPr>
        <w:t>tutelar y garantizar el derecho que tiene toda persona a la protección de sus datos personales, en posesión de los sujetos obligados.</w:t>
      </w:r>
    </w:p>
    <w:p w:rsidR="00B22357" w:rsidRDefault="00855197" w:rsidP="00B22357">
      <w:pPr>
        <w:spacing w:after="0" w:line="360" w:lineRule="auto"/>
        <w:jc w:val="both"/>
        <w:rPr>
          <w:rFonts w:ascii="Palatino Linotype" w:hAnsi="Palatino Linotype"/>
          <w:sz w:val="24"/>
          <w:szCs w:val="24"/>
        </w:rPr>
      </w:pPr>
      <w:r>
        <w:rPr>
          <w:rFonts w:ascii="Palatino Linotype" w:hAnsi="Palatino Linotype"/>
          <w:sz w:val="24"/>
          <w:szCs w:val="24"/>
        </w:rPr>
        <w:t>Bajo estas condiciones</w:t>
      </w:r>
      <w:r w:rsidR="00B22357">
        <w:rPr>
          <w:rFonts w:ascii="Palatino Linotype" w:hAnsi="Palatino Linotype"/>
          <w:sz w:val="24"/>
          <w:szCs w:val="24"/>
        </w:rPr>
        <w:t xml:space="preserve"> se deberá atender lo previsto en los </w:t>
      </w:r>
      <w:r w:rsidR="00B22357" w:rsidRPr="00726F13">
        <w:rPr>
          <w:rFonts w:ascii="Palatino Linotype" w:hAnsi="Palatino Linotype"/>
          <w:sz w:val="24"/>
          <w:szCs w:val="24"/>
        </w:rPr>
        <w:t xml:space="preserve">Lineamientos Generales en Materia de Clasificación y Desclasificación de la Información, así como para la Elaboración de Versiones Públicas </w:t>
      </w:r>
      <w:r w:rsidR="00B22357">
        <w:rPr>
          <w:rFonts w:ascii="Palatino Linotype" w:hAnsi="Palatino Linotype"/>
          <w:sz w:val="24"/>
          <w:szCs w:val="24"/>
        </w:rPr>
        <w:t xml:space="preserve">numeral </w:t>
      </w:r>
      <w:r w:rsidR="00B22357" w:rsidRPr="00726F13">
        <w:rPr>
          <w:rFonts w:ascii="Palatino Linotype" w:hAnsi="Palatino Linotype"/>
          <w:sz w:val="24"/>
          <w:szCs w:val="24"/>
        </w:rPr>
        <w:t>Sexagésimo Sexto</w:t>
      </w:r>
      <w:r w:rsidR="00B22357">
        <w:rPr>
          <w:rFonts w:ascii="Palatino Linotype" w:hAnsi="Palatino Linotype"/>
          <w:sz w:val="24"/>
          <w:szCs w:val="24"/>
        </w:rPr>
        <w:t>,</w:t>
      </w:r>
      <w:r w:rsidR="00B22357" w:rsidRPr="00726F13">
        <w:rPr>
          <w:rFonts w:ascii="Palatino Linotype" w:hAnsi="Palatino Linotype"/>
          <w:sz w:val="24"/>
          <w:szCs w:val="24"/>
        </w:rPr>
        <w:t xml:space="preserve"> que a continuación se inserta:</w:t>
      </w:r>
    </w:p>
    <w:p w:rsidR="00B22357" w:rsidRPr="00CE565B" w:rsidRDefault="00B22357" w:rsidP="00B22357">
      <w:pPr>
        <w:spacing w:after="0" w:line="240" w:lineRule="auto"/>
        <w:ind w:left="851" w:right="990"/>
        <w:jc w:val="both"/>
        <w:rPr>
          <w:rFonts w:ascii="Palatino Linotype" w:hAnsi="Palatino Linotype"/>
          <w:i/>
          <w:sz w:val="18"/>
          <w:szCs w:val="18"/>
        </w:rPr>
      </w:pPr>
      <w:r w:rsidRPr="00CE565B">
        <w:rPr>
          <w:rFonts w:ascii="Palatino Linotype" w:hAnsi="Palatino Linotype"/>
          <w:b/>
          <w:i/>
          <w:sz w:val="18"/>
          <w:szCs w:val="18"/>
        </w:rPr>
        <w:t>“Sexagésimo sexto.</w:t>
      </w:r>
      <w:r w:rsidRPr="00CE565B">
        <w:rPr>
          <w:rFonts w:ascii="Palatino Linotype" w:hAnsi="Palatino Linotype"/>
          <w:i/>
          <w:sz w:val="18"/>
          <w:szCs w:val="18"/>
        </w:rPr>
        <w:t xml:space="preserve"> Ante una solicitud de acceso podrá elaborarse una versión pública de las concesiones, permisos o autorizaciones, en la que no podrá testarse aquella información que acredite el cumplimiento de obligaciones previstas para la obtención, renovación o conservación de la concesión, permiso o autorización de que se trate, salvo aquella información que se encuentre clasificada como confidencial.”</w:t>
      </w:r>
    </w:p>
    <w:p w:rsidR="00B22357" w:rsidRDefault="00B22357" w:rsidP="00A91596">
      <w:pPr>
        <w:spacing w:before="240" w:after="240" w:line="360" w:lineRule="auto"/>
        <w:jc w:val="both"/>
        <w:rPr>
          <w:rFonts w:ascii="Palatino Linotype" w:hAnsi="Palatino Linotype"/>
          <w:sz w:val="24"/>
          <w:szCs w:val="24"/>
        </w:rPr>
      </w:pPr>
      <w:r>
        <w:rPr>
          <w:rFonts w:ascii="Palatino Linotype" w:hAnsi="Palatino Linotype"/>
          <w:sz w:val="24"/>
          <w:szCs w:val="24"/>
        </w:rPr>
        <w:t>En relación directa con lo anterior, el artículo 52 de la Ley de Transparencia y Acceso a la Información Pública del Estado de México</w:t>
      </w:r>
      <w:r w:rsidR="00A91596">
        <w:rPr>
          <w:rFonts w:ascii="Palatino Linotype" w:hAnsi="Palatino Linotype"/>
          <w:sz w:val="24"/>
          <w:szCs w:val="24"/>
        </w:rPr>
        <w:t xml:space="preserve"> y Municipios, hace referencia al proceso de disociación, bajo el siguiente texto:</w:t>
      </w:r>
    </w:p>
    <w:p w:rsidR="00A91596" w:rsidRPr="00CE565B" w:rsidRDefault="00A91596" w:rsidP="00A91596">
      <w:pPr>
        <w:spacing w:after="120" w:line="240" w:lineRule="auto"/>
        <w:ind w:left="851" w:right="992"/>
        <w:jc w:val="both"/>
        <w:rPr>
          <w:rFonts w:ascii="Palatino Linotype" w:hAnsi="Palatino Linotype"/>
          <w:i/>
          <w:sz w:val="18"/>
          <w:szCs w:val="18"/>
        </w:rPr>
      </w:pPr>
      <w:r w:rsidRPr="00CE565B">
        <w:rPr>
          <w:rFonts w:ascii="Palatino Linotype" w:hAnsi="Palatino Linotype"/>
          <w:b/>
          <w:i/>
          <w:sz w:val="18"/>
          <w:szCs w:val="18"/>
        </w:rPr>
        <w:lastRenderedPageBreak/>
        <w:t>“Artículo 52.</w:t>
      </w:r>
      <w:r w:rsidRPr="00CE565B">
        <w:rPr>
          <w:rFonts w:ascii="Palatino Linotype" w:hAnsi="Palatino Linotype"/>
          <w:i/>
          <w:sz w:val="18"/>
          <w:szCs w:val="18"/>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FA13E1" w:rsidRPr="00FA13E1" w:rsidRDefault="00FA13E1" w:rsidP="00A91596">
      <w:pPr>
        <w:spacing w:before="240" w:after="240" w:line="360" w:lineRule="auto"/>
        <w:jc w:val="both"/>
        <w:rPr>
          <w:rFonts w:ascii="Palatino Linotype" w:hAnsi="Palatino Linotype"/>
          <w:i/>
          <w:sz w:val="24"/>
          <w:szCs w:val="24"/>
        </w:rPr>
      </w:pPr>
      <w:r>
        <w:rPr>
          <w:rFonts w:ascii="Palatino Linotype" w:hAnsi="Palatino Linotype"/>
          <w:sz w:val="24"/>
          <w:szCs w:val="24"/>
        </w:rPr>
        <w:t xml:space="preserve">El cual fue definido en la Ley General de Protección de Datos Personales en Posesión de Sujetos Obligados y por la Ley de Protección de Datos Personales en Posesión de Sujetos Obligados del Estado de México y Municipios, como el </w:t>
      </w:r>
      <w:r w:rsidRPr="00FA13E1">
        <w:rPr>
          <w:rFonts w:ascii="Palatino Linotype" w:hAnsi="Palatino Linotype"/>
          <w:i/>
          <w:sz w:val="24"/>
          <w:szCs w:val="24"/>
        </w:rPr>
        <w:t>procedimiento por el que los datos personales no pueden asociarse a la o el titular, ni permitir por su estructura, contenido o grado de desagregación, la identificación individual del mismo.</w:t>
      </w:r>
    </w:p>
    <w:p w:rsidR="00AF5B63" w:rsidRDefault="00AB1BA5" w:rsidP="00A91596">
      <w:pPr>
        <w:spacing w:before="240" w:after="240" w:line="360" w:lineRule="auto"/>
        <w:jc w:val="both"/>
        <w:rPr>
          <w:rFonts w:ascii="Palatino Linotype" w:hAnsi="Palatino Linotype"/>
          <w:sz w:val="24"/>
          <w:szCs w:val="24"/>
        </w:rPr>
      </w:pPr>
      <w:r>
        <w:rPr>
          <w:rFonts w:ascii="Palatino Linotype" w:hAnsi="Palatino Linotype"/>
          <w:sz w:val="24"/>
          <w:szCs w:val="24"/>
        </w:rPr>
        <w:t>Proceso q</w:t>
      </w:r>
      <w:r w:rsidR="00A91596">
        <w:rPr>
          <w:rFonts w:ascii="Palatino Linotype" w:hAnsi="Palatino Linotype"/>
          <w:sz w:val="24"/>
          <w:szCs w:val="24"/>
        </w:rPr>
        <w:t xml:space="preserve">ue no es otra cosa, que la técnica de anonimización que surgió </w:t>
      </w:r>
      <w:r>
        <w:rPr>
          <w:rFonts w:ascii="Palatino Linotype" w:hAnsi="Palatino Linotype"/>
          <w:sz w:val="24"/>
          <w:szCs w:val="24"/>
        </w:rPr>
        <w:t xml:space="preserve">en España </w:t>
      </w:r>
      <w:r w:rsidR="00A91596">
        <w:rPr>
          <w:rFonts w:ascii="Palatino Linotype" w:hAnsi="Palatino Linotype"/>
          <w:sz w:val="24"/>
          <w:szCs w:val="24"/>
        </w:rPr>
        <w:t xml:space="preserve">como una herramienta para mitigar los riesgos que </w:t>
      </w:r>
      <w:r>
        <w:rPr>
          <w:rFonts w:ascii="Palatino Linotype" w:hAnsi="Palatino Linotype"/>
          <w:sz w:val="24"/>
          <w:szCs w:val="24"/>
        </w:rPr>
        <w:t>re</w:t>
      </w:r>
      <w:r w:rsidR="00A91596">
        <w:rPr>
          <w:rFonts w:ascii="Palatino Linotype" w:hAnsi="Palatino Linotype"/>
          <w:sz w:val="24"/>
          <w:szCs w:val="24"/>
        </w:rPr>
        <w:t xml:space="preserve">presentan la obtención y tratamiento masivo de datos de carácter personal, a través de un proceso que permite </w:t>
      </w:r>
      <w:r w:rsidR="00AF5B63">
        <w:rPr>
          <w:rFonts w:ascii="Palatino Linotype" w:hAnsi="Palatino Linotype"/>
          <w:sz w:val="24"/>
          <w:szCs w:val="24"/>
        </w:rPr>
        <w:t xml:space="preserve">delimitar y suprimir </w:t>
      </w:r>
      <w:r w:rsidR="00A91596">
        <w:rPr>
          <w:rFonts w:ascii="Palatino Linotype" w:hAnsi="Palatino Linotype"/>
          <w:sz w:val="24"/>
          <w:szCs w:val="24"/>
        </w:rPr>
        <w:t>información sensible contenida en los documentos, permitiendo su divulgación, sin que ello implique vulnerar el derecho a la protección de datos personales</w:t>
      </w:r>
      <w:r w:rsidR="00AF5B63">
        <w:rPr>
          <w:rFonts w:ascii="Palatino Linotype" w:hAnsi="Palatino Linotype"/>
          <w:sz w:val="24"/>
          <w:szCs w:val="24"/>
        </w:rPr>
        <w:t xml:space="preserve">, </w:t>
      </w:r>
      <w:r w:rsidR="0070725B">
        <w:rPr>
          <w:rFonts w:ascii="Palatino Linotype" w:hAnsi="Palatino Linotype"/>
          <w:sz w:val="24"/>
          <w:szCs w:val="24"/>
        </w:rPr>
        <w:t xml:space="preserve">en razón de </w:t>
      </w:r>
      <w:r w:rsidR="00AF5B63">
        <w:rPr>
          <w:rFonts w:ascii="Palatino Linotype" w:hAnsi="Palatino Linotype"/>
          <w:sz w:val="24"/>
          <w:szCs w:val="24"/>
        </w:rPr>
        <w:t>que permite el</w:t>
      </w:r>
      <w:r w:rsidR="0070725B">
        <w:rPr>
          <w:rFonts w:ascii="Palatino Linotype" w:hAnsi="Palatino Linotype"/>
          <w:sz w:val="24"/>
          <w:szCs w:val="24"/>
        </w:rPr>
        <w:t>iminar de forma irreversible la posibilidad</w:t>
      </w:r>
      <w:r w:rsidR="00AF5B63">
        <w:rPr>
          <w:rFonts w:ascii="Palatino Linotype" w:hAnsi="Palatino Linotype"/>
          <w:sz w:val="24"/>
          <w:szCs w:val="24"/>
        </w:rPr>
        <w:t xml:space="preserve"> de identificación cuando los datos sean reutilizados.</w:t>
      </w:r>
    </w:p>
    <w:p w:rsidR="00A91596" w:rsidRPr="00CE565B" w:rsidRDefault="00AF5B63" w:rsidP="00A91596">
      <w:pPr>
        <w:spacing w:before="240" w:after="240" w:line="360" w:lineRule="auto"/>
        <w:jc w:val="both"/>
        <w:rPr>
          <w:rFonts w:ascii="Palatino Linotype" w:hAnsi="Palatino Linotype"/>
        </w:rPr>
      </w:pPr>
      <w:r>
        <w:rPr>
          <w:rFonts w:ascii="Palatino Linotype" w:hAnsi="Palatino Linotype"/>
          <w:sz w:val="24"/>
          <w:szCs w:val="24"/>
        </w:rPr>
        <w:t>La finalidad del proceso anonimizac</w:t>
      </w:r>
      <w:r w:rsidR="00324209">
        <w:rPr>
          <w:rFonts w:ascii="Palatino Linotype" w:hAnsi="Palatino Linotype"/>
          <w:sz w:val="24"/>
          <w:szCs w:val="24"/>
        </w:rPr>
        <w:t>ió</w:t>
      </w:r>
      <w:r>
        <w:rPr>
          <w:rFonts w:ascii="Palatino Linotype" w:hAnsi="Palatino Linotype"/>
          <w:sz w:val="24"/>
          <w:szCs w:val="24"/>
        </w:rPr>
        <w:t xml:space="preserve">n es </w:t>
      </w:r>
      <w:r w:rsidRPr="00AF5B63">
        <w:rPr>
          <w:rFonts w:ascii="Palatino Linotype" w:hAnsi="Palatino Linotype"/>
          <w:i/>
          <w:sz w:val="24"/>
          <w:szCs w:val="24"/>
        </w:rPr>
        <w:t xml:space="preserve">eliminar o reducir al mínimo </w:t>
      </w:r>
      <w:r w:rsidRPr="00CE565B">
        <w:rPr>
          <w:rFonts w:ascii="Palatino Linotype" w:hAnsi="Palatino Linotype"/>
          <w:i/>
        </w:rPr>
        <w:t xml:space="preserve">los riesgos de reidentificación de los datos anonimizados manteniendo la veracidad de los resultados del tratamiento de los mismos, es decir, además de evitar la identificación de las personas, los datos anonimizados deben garantizar que cualquier operación o tratamiento que pueda ser realizado con posterioridad a la anonimización no conlleva una distorsión de los datos reales. Un análisis masivo de los datos o </w:t>
      </w:r>
      <w:r w:rsidRPr="00CE565B">
        <w:rPr>
          <w:rFonts w:ascii="Palatino Linotype" w:hAnsi="Palatino Linotype"/>
          <w:i/>
        </w:rPr>
        <w:lastRenderedPageBreak/>
        <w:t>macrodatos que puedan derivar de los datos anonimizados no debería diferir del análisis que pudiera obtenerse si hubiera sido realizado con datos no anonimizados</w:t>
      </w:r>
      <w:r w:rsidRPr="00CE565B">
        <w:rPr>
          <w:rStyle w:val="Refdenotaalpie"/>
          <w:rFonts w:ascii="Palatino Linotype" w:hAnsi="Palatino Linotype"/>
          <w:i/>
        </w:rPr>
        <w:footnoteReference w:id="2"/>
      </w:r>
      <w:r w:rsidRPr="00CE565B">
        <w:t>.</w:t>
      </w:r>
    </w:p>
    <w:p w:rsidR="00013AEB" w:rsidRDefault="00013AEB" w:rsidP="00A91596">
      <w:pPr>
        <w:spacing w:before="240" w:after="240" w:line="360" w:lineRule="auto"/>
        <w:jc w:val="both"/>
        <w:rPr>
          <w:rFonts w:ascii="Palatino Linotype" w:hAnsi="Palatino Linotype" w:cs="Arial"/>
          <w:sz w:val="24"/>
          <w:szCs w:val="24"/>
          <w:shd w:val="clear" w:color="auto" w:fill="FFFFFF"/>
        </w:rPr>
      </w:pPr>
      <w:r>
        <w:rPr>
          <w:rFonts w:ascii="Palatino Linotype" w:hAnsi="Palatino Linotype"/>
          <w:sz w:val="24"/>
          <w:szCs w:val="24"/>
        </w:rPr>
        <w:t>El Grupo de Trabajo del artículo 29 de Protección de Datos personales, señala que la a</w:t>
      </w:r>
      <w:r w:rsidRPr="00013AEB">
        <w:rPr>
          <w:rFonts w:ascii="Palatino Linotype" w:hAnsi="Palatino Linotype" w:cs="Arial"/>
          <w:sz w:val="24"/>
          <w:szCs w:val="24"/>
          <w:shd w:val="clear" w:color="auto" w:fill="FFFFFF"/>
        </w:rPr>
        <w:t>nonimización tiene relevancia en un contexto </w:t>
      </w:r>
      <w:r w:rsidRPr="00013AEB">
        <w:rPr>
          <w:rFonts w:ascii="Palatino Linotype" w:hAnsi="Palatino Linotype" w:cs="Arial"/>
          <w:i/>
          <w:iCs/>
          <w:sz w:val="24"/>
          <w:szCs w:val="24"/>
          <w:bdr w:val="none" w:sz="0" w:space="0" w:color="auto" w:frame="1"/>
          <w:shd w:val="clear" w:color="auto" w:fill="FFFFFF"/>
        </w:rPr>
        <w:t>Open Data</w:t>
      </w:r>
      <w:r w:rsidRPr="00013AEB">
        <w:rPr>
          <w:rFonts w:ascii="Palatino Linotype" w:hAnsi="Palatino Linotype" w:cs="Arial"/>
          <w:sz w:val="24"/>
          <w:szCs w:val="24"/>
          <w:shd w:val="clear" w:color="auto" w:fill="FFFFFF"/>
        </w:rPr>
        <w:t>, donde es necesaria la reutilización de los datos, considerando que la legislación vigente en materia de protección de datos establece que</w:t>
      </w:r>
      <w:r w:rsidR="0070725B">
        <w:rPr>
          <w:rFonts w:ascii="Palatino Linotype" w:hAnsi="Palatino Linotype" w:cs="Arial"/>
          <w:sz w:val="24"/>
          <w:szCs w:val="24"/>
          <w:shd w:val="clear" w:color="auto" w:fill="FFFFFF"/>
        </w:rPr>
        <w:t>,</w:t>
      </w:r>
      <w:r w:rsidRPr="00013AEB">
        <w:rPr>
          <w:rFonts w:ascii="Palatino Linotype" w:hAnsi="Palatino Linotype" w:cs="Arial"/>
          <w:sz w:val="24"/>
          <w:szCs w:val="24"/>
          <w:shd w:val="clear" w:color="auto" w:fill="FFFFFF"/>
        </w:rPr>
        <w:t xml:space="preserve"> los dat</w:t>
      </w:r>
      <w:r w:rsidR="00FC7442">
        <w:rPr>
          <w:rFonts w:ascii="Palatino Linotype" w:hAnsi="Palatino Linotype" w:cs="Arial"/>
          <w:sz w:val="24"/>
          <w:szCs w:val="24"/>
          <w:shd w:val="clear" w:color="auto" w:fill="FFFFFF"/>
        </w:rPr>
        <w:t xml:space="preserve">os anónimos quedan fuera de su </w:t>
      </w:r>
      <w:r w:rsidRPr="00013AEB">
        <w:rPr>
          <w:rFonts w:ascii="Palatino Linotype" w:hAnsi="Palatino Linotype" w:cs="Arial"/>
          <w:sz w:val="24"/>
          <w:szCs w:val="24"/>
          <w:shd w:val="clear" w:color="auto" w:fill="FFFFFF"/>
        </w:rPr>
        <w:t>ámbito de aplicación</w:t>
      </w:r>
      <w:r w:rsidR="00FC7442">
        <w:rPr>
          <w:rFonts w:ascii="Palatino Linotype" w:hAnsi="Palatino Linotype" w:cs="Arial"/>
          <w:sz w:val="24"/>
          <w:szCs w:val="24"/>
          <w:shd w:val="clear" w:color="auto" w:fill="FFFFFF"/>
        </w:rPr>
        <w:t>; toda vez que la anonimizarían supone que no será posible identificar a la persona con datos o información de diversas fuentes. Asimismo, en su Dictamen sobre el principio de finalidad (WP 203) establece los siguientes criterios para el tratamiento posterior de datos personales con finalidades adicionales a la finalidad original:</w:t>
      </w:r>
    </w:p>
    <w:p w:rsidR="00FC7442" w:rsidRPr="00CE565B" w:rsidRDefault="00FC7442" w:rsidP="00FC7442">
      <w:pPr>
        <w:spacing w:after="0" w:line="240" w:lineRule="auto"/>
        <w:ind w:left="567"/>
        <w:jc w:val="both"/>
        <w:rPr>
          <w:rFonts w:ascii="Palatino Linotype" w:hAnsi="Palatino Linotype"/>
          <w:i/>
        </w:rPr>
      </w:pPr>
      <w:r w:rsidRPr="00CE565B">
        <w:rPr>
          <w:rFonts w:ascii="Palatino Linotype" w:hAnsi="Palatino Linotype"/>
          <w:i/>
        </w:rPr>
        <w:t xml:space="preserve">-Debe existir una relación entre la finalidad original y la finalidad o finalidades ulteriores. </w:t>
      </w:r>
    </w:p>
    <w:p w:rsidR="00FC7442" w:rsidRPr="00CE565B" w:rsidRDefault="00FC7442" w:rsidP="00FC7442">
      <w:pPr>
        <w:spacing w:after="0" w:line="240" w:lineRule="auto"/>
        <w:ind w:left="567"/>
        <w:jc w:val="both"/>
        <w:rPr>
          <w:rFonts w:ascii="Palatino Linotype" w:hAnsi="Palatino Linotype"/>
          <w:i/>
        </w:rPr>
      </w:pPr>
      <w:r w:rsidRPr="00CE565B">
        <w:rPr>
          <w:rFonts w:ascii="Palatino Linotype" w:hAnsi="Palatino Linotype"/>
          <w:i/>
        </w:rPr>
        <w:t xml:space="preserve">-El tratamiento ulterior debe encontrarse dentro de las expectativas razonables del interesado. </w:t>
      </w:r>
    </w:p>
    <w:p w:rsidR="00FC7442" w:rsidRPr="00CE565B" w:rsidRDefault="00FC7442" w:rsidP="00FC7442">
      <w:pPr>
        <w:spacing w:after="0" w:line="240" w:lineRule="auto"/>
        <w:ind w:left="567"/>
        <w:jc w:val="both"/>
        <w:rPr>
          <w:rFonts w:ascii="Palatino Linotype" w:hAnsi="Palatino Linotype"/>
          <w:i/>
        </w:rPr>
      </w:pPr>
      <w:r w:rsidRPr="00CE565B">
        <w:rPr>
          <w:rFonts w:ascii="Palatino Linotype" w:hAnsi="Palatino Linotype"/>
          <w:i/>
        </w:rPr>
        <w:t xml:space="preserve">-Debe tenerse en cuenta la naturaleza de los datos objeto de tratamiento y la sensibilidad de los mismos. </w:t>
      </w:r>
      <w:bookmarkStart w:id="0" w:name="_GoBack"/>
      <w:bookmarkEnd w:id="0"/>
    </w:p>
    <w:p w:rsidR="00FC7442" w:rsidRPr="00CE565B" w:rsidRDefault="00FC7442" w:rsidP="00FC7442">
      <w:pPr>
        <w:spacing w:after="0" w:line="240" w:lineRule="auto"/>
        <w:ind w:left="567"/>
        <w:jc w:val="both"/>
        <w:rPr>
          <w:rFonts w:ascii="Palatino Linotype" w:hAnsi="Palatino Linotype"/>
          <w:i/>
        </w:rPr>
      </w:pPr>
      <w:r w:rsidRPr="00CE565B">
        <w:rPr>
          <w:rFonts w:ascii="Palatino Linotype" w:hAnsi="Palatino Linotype"/>
          <w:i/>
        </w:rPr>
        <w:t xml:space="preserve">-Debe considerarse el impacto que este tratamiento va a tener en los interesados. </w:t>
      </w:r>
    </w:p>
    <w:p w:rsidR="00FC7442" w:rsidRPr="00CE565B" w:rsidRDefault="00FC7442" w:rsidP="00FC7442">
      <w:pPr>
        <w:spacing w:after="0" w:line="240" w:lineRule="auto"/>
        <w:ind w:left="567"/>
        <w:jc w:val="both"/>
        <w:rPr>
          <w:rFonts w:ascii="Palatino Linotype" w:hAnsi="Palatino Linotype" w:cs="Arial"/>
          <w:i/>
          <w:shd w:val="clear" w:color="auto" w:fill="FFFFFF"/>
        </w:rPr>
      </w:pPr>
      <w:r w:rsidRPr="00CE565B">
        <w:rPr>
          <w:rFonts w:ascii="Palatino Linotype" w:hAnsi="Palatino Linotype"/>
          <w:i/>
        </w:rPr>
        <w:t>-Deben considerarse las medidas de protección que el responsable del tratamiento establece, en particular las medidas técnicas y organizativas: encriptación, seudonimización, separación funcional, transparencia, oposición al tratamiento.</w:t>
      </w:r>
    </w:p>
    <w:p w:rsidR="00CE565B" w:rsidRDefault="00CE565B" w:rsidP="00A915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Cabe decir, que </w:t>
      </w:r>
      <w:r w:rsidR="00CE4DA6">
        <w:rPr>
          <w:rFonts w:ascii="Palatino Linotype" w:hAnsi="Palatino Linotype"/>
          <w:sz w:val="24"/>
          <w:szCs w:val="24"/>
        </w:rPr>
        <w:t>la Ley General de Protección de Datos no hizo referencia al proceso de anonimización, pero sí reconoció el proceso de disociación</w:t>
      </w:r>
      <w:r w:rsidR="00324209">
        <w:rPr>
          <w:rFonts w:ascii="Palatino Linotype" w:hAnsi="Palatino Linotype"/>
          <w:i/>
          <w:sz w:val="24"/>
          <w:szCs w:val="24"/>
        </w:rPr>
        <w:t xml:space="preserve"> </w:t>
      </w:r>
      <w:r w:rsidR="00CE4DA6">
        <w:rPr>
          <w:rFonts w:ascii="Palatino Linotype" w:hAnsi="Palatino Linotype"/>
          <w:sz w:val="24"/>
          <w:szCs w:val="24"/>
        </w:rPr>
        <w:t>como el procedimiento que permite</w:t>
      </w:r>
      <w:r w:rsidR="00324209">
        <w:rPr>
          <w:rFonts w:ascii="Palatino Linotype" w:hAnsi="Palatino Linotype"/>
          <w:sz w:val="24"/>
          <w:szCs w:val="24"/>
        </w:rPr>
        <w:t xml:space="preserve"> aislar o eliminar datos que identifiquen a un individuo</w:t>
      </w:r>
      <w:r w:rsidR="00CE4DA6">
        <w:rPr>
          <w:rFonts w:ascii="Palatino Linotype" w:hAnsi="Palatino Linotype"/>
          <w:sz w:val="24"/>
          <w:szCs w:val="24"/>
        </w:rPr>
        <w:t xml:space="preserve"> y d</w:t>
      </w:r>
      <w:r w:rsidR="00324209">
        <w:rPr>
          <w:rFonts w:ascii="Palatino Linotype" w:hAnsi="Palatino Linotype"/>
          <w:sz w:val="24"/>
          <w:szCs w:val="24"/>
        </w:rPr>
        <w:t xml:space="preserve">esvincular </w:t>
      </w:r>
      <w:r w:rsidR="00324209">
        <w:rPr>
          <w:rFonts w:ascii="Palatino Linotype" w:hAnsi="Palatino Linotype"/>
          <w:sz w:val="24"/>
          <w:szCs w:val="24"/>
        </w:rPr>
        <w:lastRenderedPageBreak/>
        <w:t>datos</w:t>
      </w:r>
      <w:r>
        <w:rPr>
          <w:rFonts w:ascii="Palatino Linotype" w:hAnsi="Palatino Linotype"/>
          <w:sz w:val="24"/>
          <w:szCs w:val="24"/>
        </w:rPr>
        <w:t xml:space="preserve"> referentes a una misma persona, mientras que la Ley de Protección de Datos Personales en Posesión de Sujetos Obligados de la entidad, en su artículo 21 fracciones VIII y IX señala que cuando se adviertan datos personales en fuentes de acceso público </w:t>
      </w:r>
      <w:r w:rsidRPr="00CE565B">
        <w:rPr>
          <w:rFonts w:ascii="Palatino Linotype" w:hAnsi="Palatino Linotype"/>
          <w:sz w:val="24"/>
          <w:szCs w:val="24"/>
        </w:rPr>
        <w:t>serán sometidos al procedimiento de anonimización, disociación o seudonimización, tendientes a evitar la asociación de los datos personales con su titular</w:t>
      </w:r>
      <w:r>
        <w:rPr>
          <w:rFonts w:ascii="Palatino Linotype" w:hAnsi="Palatino Linotype"/>
          <w:sz w:val="24"/>
          <w:szCs w:val="24"/>
        </w:rPr>
        <w:t>.</w:t>
      </w:r>
    </w:p>
    <w:p w:rsidR="00324209" w:rsidRDefault="00324209" w:rsidP="00A915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Al aplicar un debido proceso de </w:t>
      </w:r>
      <w:r w:rsidR="00CE565B">
        <w:rPr>
          <w:rFonts w:ascii="Palatino Linotype" w:hAnsi="Palatino Linotype"/>
          <w:sz w:val="24"/>
          <w:szCs w:val="24"/>
        </w:rPr>
        <w:t xml:space="preserve">anonimización, </w:t>
      </w:r>
      <w:r>
        <w:rPr>
          <w:rFonts w:ascii="Palatino Linotype" w:hAnsi="Palatino Linotype"/>
          <w:sz w:val="24"/>
          <w:szCs w:val="24"/>
        </w:rPr>
        <w:t>disociación</w:t>
      </w:r>
      <w:r w:rsidR="00CE565B">
        <w:rPr>
          <w:rFonts w:ascii="Palatino Linotype" w:hAnsi="Palatino Linotype"/>
          <w:sz w:val="24"/>
          <w:szCs w:val="24"/>
        </w:rPr>
        <w:t xml:space="preserve"> o seudonimización</w:t>
      </w:r>
      <w:r>
        <w:rPr>
          <w:rFonts w:ascii="Palatino Linotype" w:hAnsi="Palatino Linotype"/>
          <w:sz w:val="24"/>
          <w:szCs w:val="24"/>
        </w:rPr>
        <w:t xml:space="preserve"> en las versiones públicas se garantiza que no se pueda hacer identificable a un individuo, por ello, </w:t>
      </w:r>
      <w:r w:rsidR="00067471">
        <w:rPr>
          <w:rFonts w:ascii="Palatino Linotype" w:hAnsi="Palatino Linotype"/>
          <w:sz w:val="24"/>
          <w:szCs w:val="24"/>
        </w:rPr>
        <w:t xml:space="preserve">es de </w:t>
      </w:r>
      <w:r>
        <w:rPr>
          <w:rFonts w:ascii="Palatino Linotype" w:hAnsi="Palatino Linotype"/>
          <w:sz w:val="24"/>
          <w:szCs w:val="24"/>
        </w:rPr>
        <w:t xml:space="preserve">suma </w:t>
      </w:r>
      <w:r w:rsidR="00067471">
        <w:rPr>
          <w:rFonts w:ascii="Palatino Linotype" w:hAnsi="Palatino Linotype"/>
          <w:sz w:val="24"/>
          <w:szCs w:val="24"/>
        </w:rPr>
        <w:t>importancia</w:t>
      </w:r>
      <w:r>
        <w:rPr>
          <w:rFonts w:ascii="Palatino Linotype" w:hAnsi="Palatino Linotype"/>
          <w:sz w:val="24"/>
          <w:szCs w:val="24"/>
        </w:rPr>
        <w:t xml:space="preserve"> evaluar todo los riesgos, teniendo en cuenta, que puede ser posible la </w:t>
      </w:r>
      <w:r w:rsidR="00067471">
        <w:rPr>
          <w:rFonts w:ascii="Palatino Linotype" w:hAnsi="Palatino Linotype"/>
          <w:sz w:val="24"/>
          <w:szCs w:val="24"/>
        </w:rPr>
        <w:t>identificación</w:t>
      </w:r>
      <w:r>
        <w:rPr>
          <w:rFonts w:ascii="Palatino Linotype" w:hAnsi="Palatino Linotype"/>
          <w:sz w:val="24"/>
          <w:szCs w:val="24"/>
        </w:rPr>
        <w:t xml:space="preserve"> de los titulares de datos </w:t>
      </w:r>
      <w:r w:rsidR="00067471">
        <w:rPr>
          <w:rFonts w:ascii="Palatino Linotype" w:hAnsi="Palatino Linotype"/>
          <w:sz w:val="24"/>
          <w:szCs w:val="24"/>
        </w:rPr>
        <w:t>personales</w:t>
      </w:r>
      <w:r>
        <w:rPr>
          <w:rFonts w:ascii="Palatino Linotype" w:hAnsi="Palatino Linotype"/>
          <w:sz w:val="24"/>
          <w:szCs w:val="24"/>
        </w:rPr>
        <w:t xml:space="preserve"> </w:t>
      </w:r>
      <w:r w:rsidR="00067471">
        <w:rPr>
          <w:rFonts w:ascii="Palatino Linotype" w:hAnsi="Palatino Linotype"/>
          <w:sz w:val="24"/>
          <w:szCs w:val="24"/>
        </w:rPr>
        <w:t>consultando</w:t>
      </w:r>
      <w:r>
        <w:rPr>
          <w:rFonts w:ascii="Palatino Linotype" w:hAnsi="Palatino Linotype"/>
          <w:sz w:val="24"/>
          <w:szCs w:val="24"/>
        </w:rPr>
        <w:t xml:space="preserve"> otras fuentes que sean accesibles al </w:t>
      </w:r>
      <w:r w:rsidR="00067471">
        <w:rPr>
          <w:rFonts w:ascii="Palatino Linotype" w:hAnsi="Palatino Linotype"/>
          <w:sz w:val="24"/>
          <w:szCs w:val="24"/>
        </w:rPr>
        <w:t>público</w:t>
      </w:r>
      <w:r>
        <w:rPr>
          <w:rFonts w:ascii="Palatino Linotype" w:hAnsi="Palatino Linotype"/>
          <w:sz w:val="24"/>
          <w:szCs w:val="24"/>
        </w:rPr>
        <w:t xml:space="preserve">, por lo que se </w:t>
      </w:r>
      <w:r w:rsidR="00067471">
        <w:rPr>
          <w:rFonts w:ascii="Palatino Linotype" w:hAnsi="Palatino Linotype"/>
          <w:sz w:val="24"/>
          <w:szCs w:val="24"/>
        </w:rPr>
        <w:t xml:space="preserve">deberá realizar un análisis </w:t>
      </w:r>
      <w:r w:rsidR="00AB1BA5">
        <w:rPr>
          <w:rFonts w:ascii="Palatino Linotype" w:hAnsi="Palatino Linotype"/>
          <w:sz w:val="24"/>
          <w:szCs w:val="24"/>
        </w:rPr>
        <w:t>caso por caso</w:t>
      </w:r>
      <w:r w:rsidR="00067471">
        <w:rPr>
          <w:rFonts w:ascii="Palatino Linotype" w:hAnsi="Palatino Linotype"/>
          <w:sz w:val="24"/>
          <w:szCs w:val="24"/>
        </w:rPr>
        <w:t xml:space="preserve"> previo a la disociación, así como posteriormente.</w:t>
      </w:r>
    </w:p>
    <w:p w:rsidR="00CE4DA6" w:rsidRDefault="00CE565B" w:rsidP="00462F9C">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conclusión, la entrega en versión publica </w:t>
      </w:r>
      <w:r w:rsidR="00CE4DA6">
        <w:rPr>
          <w:rFonts w:ascii="Palatino Linotype" w:hAnsi="Palatino Linotype"/>
          <w:sz w:val="24"/>
          <w:szCs w:val="24"/>
        </w:rPr>
        <w:t>permite garantizar la privacidad de los datos personales, toda vez que vivimos en una realidad en la que se debe tomar en cuenta que existen datos personales que pueden poner en riesgo la vida de una persona; no es posible considerar el derecho de acceso a la información sin la protección de datos personales, por lo que se debe ponderar en la colisión de dichos derechos, con la única finalidad de tomar medidas necesarias y que garanticen los atributos de la personalidad.</w:t>
      </w:r>
    </w:p>
    <w:p w:rsidR="00A97D60" w:rsidRDefault="00A97D60" w:rsidP="00462F9C">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Por ello, en el recurso de revisión materia del presente </w:t>
      </w:r>
      <w:r w:rsidR="00880AD9">
        <w:rPr>
          <w:rFonts w:ascii="Palatino Linotype" w:hAnsi="Palatino Linotype"/>
          <w:sz w:val="24"/>
          <w:szCs w:val="24"/>
        </w:rPr>
        <w:t>voto</w:t>
      </w:r>
      <w:r>
        <w:rPr>
          <w:rFonts w:ascii="Palatino Linotype" w:hAnsi="Palatino Linotype"/>
          <w:sz w:val="24"/>
          <w:szCs w:val="24"/>
        </w:rPr>
        <w:t>, si bien prevalece el derecho de acceso a la información pública, no se pasa por alto que la misma debe entregarse en su versión pública, a fin de que se suprima el nombre del solicitante de licencia de construcción y de uso de suelo,</w:t>
      </w:r>
      <w:r w:rsidR="00CE565B">
        <w:rPr>
          <w:rFonts w:ascii="Palatino Linotype" w:hAnsi="Palatino Linotype"/>
          <w:sz w:val="24"/>
          <w:szCs w:val="24"/>
        </w:rPr>
        <w:t xml:space="preserve"> y de los documentos que avalan su emisión, </w:t>
      </w:r>
      <w:r>
        <w:rPr>
          <w:rFonts w:ascii="Palatino Linotype" w:hAnsi="Palatino Linotype"/>
          <w:sz w:val="24"/>
          <w:szCs w:val="24"/>
        </w:rPr>
        <w:t xml:space="preserve">toda vez que el mismo no abunda para transparentar el ejercicio de la función pública, </w:t>
      </w:r>
      <w:r w:rsidR="004E047A">
        <w:rPr>
          <w:rFonts w:ascii="Palatino Linotype" w:hAnsi="Palatino Linotype"/>
          <w:sz w:val="24"/>
          <w:szCs w:val="24"/>
        </w:rPr>
        <w:t>y sí</w:t>
      </w:r>
      <w:r>
        <w:rPr>
          <w:rFonts w:ascii="Palatino Linotype" w:hAnsi="Palatino Linotype"/>
          <w:sz w:val="24"/>
          <w:szCs w:val="24"/>
        </w:rPr>
        <w:t xml:space="preserve"> puede vulnerar la seguridad del titular de los datos personales.</w:t>
      </w:r>
    </w:p>
    <w:p w:rsidR="00F26BA7" w:rsidRDefault="004339F2"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Ante</w:t>
      </w:r>
      <w:r w:rsidR="00462F9C">
        <w:rPr>
          <w:rFonts w:ascii="Palatino Linotype" w:hAnsi="Palatino Linotype"/>
          <w:sz w:val="24"/>
          <w:szCs w:val="24"/>
        </w:rPr>
        <w:t xml:space="preserve"> </w:t>
      </w:r>
      <w:r w:rsidR="00F26BA7">
        <w:rPr>
          <w:rFonts w:ascii="Palatino Linotype" w:hAnsi="Palatino Linotype"/>
          <w:sz w:val="24"/>
          <w:szCs w:val="24"/>
        </w:rPr>
        <w:t>las consideraciones expuestas, emito</w:t>
      </w:r>
      <w:r w:rsidR="00462F9C">
        <w:rPr>
          <w:rFonts w:ascii="Palatino Linotype" w:hAnsi="Palatino Linotype"/>
          <w:sz w:val="24"/>
          <w:szCs w:val="24"/>
        </w:rPr>
        <w:t xml:space="preserve"> </w:t>
      </w:r>
      <w:r w:rsidR="00880AD9">
        <w:rPr>
          <w:rFonts w:ascii="Palatino Linotype" w:hAnsi="Palatino Linotype"/>
          <w:sz w:val="24"/>
          <w:szCs w:val="24"/>
        </w:rPr>
        <w:t>voto</w:t>
      </w:r>
      <w:r w:rsidR="00067471">
        <w:rPr>
          <w:rFonts w:ascii="Palatino Linotype" w:hAnsi="Palatino Linotype"/>
          <w:sz w:val="24"/>
          <w:szCs w:val="24"/>
        </w:rPr>
        <w:t xml:space="preserve"> part</w:t>
      </w:r>
      <w:r w:rsidR="00880AD9">
        <w:rPr>
          <w:rFonts w:ascii="Palatino Linotype" w:hAnsi="Palatino Linotype"/>
          <w:sz w:val="24"/>
          <w:szCs w:val="24"/>
        </w:rPr>
        <w:t>icular con la única finalidad establecer mi postura respecto a la protección de datos personales del titular de la</w:t>
      </w:r>
      <w:r w:rsidR="00085EFF">
        <w:rPr>
          <w:rFonts w:ascii="Palatino Linotype" w:hAnsi="Palatino Linotype"/>
          <w:sz w:val="24"/>
          <w:szCs w:val="24"/>
        </w:rPr>
        <w:t>s</w:t>
      </w:r>
      <w:r w:rsidR="00880AD9">
        <w:rPr>
          <w:rFonts w:ascii="Palatino Linotype" w:hAnsi="Palatino Linotype"/>
          <w:sz w:val="24"/>
          <w:szCs w:val="24"/>
        </w:rPr>
        <w:t xml:space="preserve"> licencia</w:t>
      </w:r>
      <w:r w:rsidR="00085EFF">
        <w:rPr>
          <w:rFonts w:ascii="Palatino Linotype" w:hAnsi="Palatino Linotype"/>
          <w:sz w:val="24"/>
          <w:szCs w:val="24"/>
        </w:rPr>
        <w:t>s</w:t>
      </w:r>
      <w:r w:rsidR="00880AD9">
        <w:rPr>
          <w:rFonts w:ascii="Palatino Linotype" w:hAnsi="Palatino Linotype"/>
          <w:sz w:val="24"/>
          <w:szCs w:val="24"/>
        </w:rPr>
        <w:t xml:space="preserve"> de funcionamiento</w:t>
      </w:r>
      <w:r w:rsidR="00067471">
        <w:rPr>
          <w:rFonts w:ascii="Palatino Linotype" w:hAnsi="Palatino Linotype"/>
          <w:sz w:val="24"/>
          <w:szCs w:val="24"/>
        </w:rPr>
        <w:t xml:space="preserve"> </w:t>
      </w:r>
      <w:r w:rsidR="00085EFF">
        <w:rPr>
          <w:rFonts w:ascii="Palatino Linotype" w:hAnsi="Palatino Linotype"/>
          <w:sz w:val="24"/>
          <w:szCs w:val="24"/>
        </w:rPr>
        <w:t>ordenadas</w:t>
      </w:r>
      <w:r w:rsidR="00F26BA7">
        <w:rPr>
          <w:rFonts w:ascii="Palatino Linotype" w:eastAsia="Arial Unicode MS" w:hAnsi="Palatino Linotype" w:cs="Arial"/>
          <w:sz w:val="24"/>
          <w:szCs w:val="24"/>
        </w:rPr>
        <w:t>.</w:t>
      </w:r>
    </w:p>
    <w:p w:rsidR="00376905" w:rsidRDefault="00376905" w:rsidP="00462F9C">
      <w:pPr>
        <w:spacing w:before="240" w:after="240" w:line="360" w:lineRule="auto"/>
        <w:jc w:val="both"/>
        <w:rPr>
          <w:rFonts w:ascii="Palatino Linotype" w:eastAsia="Arial Unicode MS" w:hAnsi="Palatino Linotype" w:cs="Arial"/>
          <w:sz w:val="24"/>
          <w:szCs w:val="24"/>
        </w:rPr>
      </w:pPr>
    </w:p>
    <w:p w:rsidR="00376905" w:rsidRDefault="00376905" w:rsidP="00462F9C">
      <w:pPr>
        <w:spacing w:before="240" w:after="240" w:line="360" w:lineRule="auto"/>
        <w:jc w:val="both"/>
        <w:rPr>
          <w:rFonts w:ascii="Palatino Linotype" w:eastAsia="Arial Unicode MS" w:hAnsi="Palatino Linotype"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3974DE">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800F26">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E01DB5" w:rsidRDefault="00085EFF" w:rsidP="00E01DB5">
            <w:pPr>
              <w:spacing w:line="240" w:lineRule="auto"/>
              <w:jc w:val="center"/>
              <w:rPr>
                <w:rFonts w:ascii="Palatino Linotype" w:hAnsi="Palatino Linotype"/>
                <w:b/>
                <w:sz w:val="24"/>
                <w:szCs w:val="24"/>
              </w:rPr>
            </w:pPr>
            <w:r>
              <w:rPr>
                <w:rFonts w:ascii="Palatino Linotype" w:hAnsi="Palatino Linotype"/>
                <w:b/>
                <w:sz w:val="24"/>
                <w:szCs w:val="24"/>
              </w:rPr>
              <w:t>(Rúbrica)</w:t>
            </w:r>
          </w:p>
        </w:tc>
      </w:tr>
      <w:tr w:rsidR="00462F9C" w:rsidTr="00800F26">
        <w:tc>
          <w:tcPr>
            <w:tcW w:w="4459" w:type="dxa"/>
          </w:tcPr>
          <w:p w:rsidR="00462F9C" w:rsidRPr="00237368" w:rsidRDefault="00462F9C" w:rsidP="00800F26">
            <w:pPr>
              <w:spacing w:line="240" w:lineRule="auto"/>
              <w:jc w:val="center"/>
              <w:rPr>
                <w:rFonts w:ascii="Palatino Linotype" w:hAnsi="Palatino Linotype" w:cs="Arial"/>
              </w:rPr>
            </w:pPr>
          </w:p>
        </w:tc>
        <w:tc>
          <w:tcPr>
            <w:tcW w:w="4459" w:type="dxa"/>
          </w:tcPr>
          <w:p w:rsidR="00462F9C" w:rsidRPr="00237368" w:rsidRDefault="00462F9C" w:rsidP="00800F26">
            <w:pPr>
              <w:spacing w:line="240" w:lineRule="auto"/>
              <w:jc w:val="center"/>
              <w:rPr>
                <w:rFonts w:ascii="Palatino Linotype" w:hAnsi="Palatino Linotype" w:cs="Arial"/>
              </w:rPr>
            </w:pPr>
          </w:p>
        </w:tc>
      </w:tr>
    </w:tbl>
    <w:p w:rsidR="005777C1" w:rsidRPr="003F3117" w:rsidRDefault="005777C1" w:rsidP="00E01DB5">
      <w:pPr>
        <w:spacing w:after="0" w:line="360" w:lineRule="auto"/>
        <w:rPr>
          <w:rFonts w:ascii="Palatino Linotype" w:hAnsi="Palatino Linotype"/>
          <w:b/>
          <w:sz w:val="28"/>
          <w:szCs w:val="28"/>
        </w:rPr>
      </w:pPr>
    </w:p>
    <w:sectPr w:rsidR="005777C1" w:rsidRPr="003F311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93" w:rsidRDefault="00720193" w:rsidP="00907451">
      <w:pPr>
        <w:spacing w:after="0" w:line="240" w:lineRule="auto"/>
      </w:pPr>
      <w:r>
        <w:separator/>
      </w:r>
    </w:p>
  </w:endnote>
  <w:endnote w:type="continuationSeparator" w:id="0">
    <w:p w:rsidR="00720193" w:rsidRDefault="0072019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734B">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734B">
      <w:rPr>
        <w:rFonts w:ascii="Arial" w:hAnsi="Arial" w:cs="Arial"/>
        <w:b/>
        <w:bCs/>
        <w:noProof/>
        <w:sz w:val="20"/>
        <w:szCs w:val="20"/>
      </w:rPr>
      <w:t>9</w:t>
    </w:r>
    <w:r w:rsidRPr="00986599">
      <w:rPr>
        <w:rFonts w:ascii="Arial" w:hAnsi="Arial" w:cs="Arial"/>
        <w:b/>
        <w:bCs/>
        <w:sz w:val="20"/>
        <w:szCs w:val="20"/>
      </w:rPr>
      <w:fldChar w:fldCharType="end"/>
    </w:r>
  </w:p>
  <w:p w:rsidR="00D758BE" w:rsidRDefault="0072019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93" w:rsidRDefault="00720193" w:rsidP="00907451">
      <w:pPr>
        <w:spacing w:after="0" w:line="240" w:lineRule="auto"/>
      </w:pPr>
      <w:r>
        <w:separator/>
      </w:r>
    </w:p>
  </w:footnote>
  <w:footnote w:type="continuationSeparator" w:id="0">
    <w:p w:rsidR="00720193" w:rsidRDefault="00720193" w:rsidP="00907451">
      <w:pPr>
        <w:spacing w:after="0" w:line="240" w:lineRule="auto"/>
      </w:pPr>
      <w:r>
        <w:continuationSeparator/>
      </w:r>
    </w:p>
  </w:footnote>
  <w:footnote w:id="1">
    <w:p w:rsidR="004E047A" w:rsidRPr="004E047A" w:rsidRDefault="004E047A">
      <w:pPr>
        <w:pStyle w:val="Textonotapie"/>
        <w:rPr>
          <w:rFonts w:ascii="Palatino Linotype" w:hAnsi="Palatino Linotype"/>
          <w:sz w:val="16"/>
          <w:szCs w:val="16"/>
        </w:rPr>
      </w:pPr>
      <w:r>
        <w:rPr>
          <w:rStyle w:val="Refdenotaalpie"/>
        </w:rPr>
        <w:footnoteRef/>
      </w:r>
      <w:r>
        <w:t xml:space="preserve"> </w:t>
      </w:r>
      <w:r w:rsidRPr="004E047A">
        <w:rPr>
          <w:rFonts w:ascii="Palatino Linotype" w:hAnsi="Palatino Linotype"/>
          <w:i/>
          <w:sz w:val="16"/>
          <w:szCs w:val="16"/>
        </w:rPr>
        <w:t xml:space="preserve">“Dictamen 4/2007 sobre el concepto de datos personales”, </w:t>
      </w:r>
      <w:r>
        <w:rPr>
          <w:rFonts w:ascii="Palatino Linotype" w:hAnsi="Palatino Linotype"/>
          <w:sz w:val="16"/>
          <w:szCs w:val="16"/>
        </w:rPr>
        <w:t xml:space="preserve">Adoptado el 20 de Junio, </w:t>
      </w:r>
      <w:r w:rsidRPr="004E047A">
        <w:rPr>
          <w:rFonts w:ascii="Palatino Linotype" w:hAnsi="Palatino Linotype"/>
          <w:sz w:val="16"/>
          <w:szCs w:val="16"/>
        </w:rPr>
        <w:t>Grupo de Trabajo del Articulo 29</w:t>
      </w:r>
      <w:r>
        <w:rPr>
          <w:rFonts w:ascii="Palatino Linotype" w:hAnsi="Palatino Linotype"/>
          <w:sz w:val="16"/>
          <w:szCs w:val="16"/>
        </w:rPr>
        <w:t>.</w:t>
      </w:r>
    </w:p>
  </w:footnote>
  <w:footnote w:id="2">
    <w:p w:rsidR="00AF5B63" w:rsidRPr="00AF5B63" w:rsidRDefault="00AF5B63">
      <w:pPr>
        <w:pStyle w:val="Textonotapie"/>
        <w:rPr>
          <w:sz w:val="16"/>
          <w:szCs w:val="16"/>
        </w:rPr>
      </w:pPr>
      <w:r>
        <w:rPr>
          <w:rStyle w:val="Refdenotaalpie"/>
        </w:rPr>
        <w:footnoteRef/>
      </w:r>
      <w:r>
        <w:t xml:space="preserve"> </w:t>
      </w:r>
      <w:r>
        <w:rPr>
          <w:i/>
          <w:sz w:val="16"/>
          <w:szCs w:val="16"/>
        </w:rPr>
        <w:t xml:space="preserve">“Orientaciones y garantías en los Procedimientos de ANONIMIZACIÓN de datos personales”, </w:t>
      </w:r>
      <w:r>
        <w:rPr>
          <w:sz w:val="16"/>
          <w:szCs w:val="16"/>
        </w:rPr>
        <w:t>Agencia Española de Protección de Datos Personales, 2016, Pág.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2019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813" o:spid="_x0000_s2050" type="#_x0000_t136" style="position:absolute;margin-left:0;margin-top:0;width:534.95pt;height:94.4pt;rotation:315;z-index:-251656192;mso-position-horizontal:center;mso-position-horizontal-relative:margin;mso-position-vertical:center;mso-position-vertical-relative:margin" o:allowincell="f" fillcolor="#c45911 [2405]" stroked="f">
          <v:fill opacity=".5"/>
          <v:textpath style="font-family:&quot;Calibri&quot;;font-size:1pt" string="OPINIÓN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72019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814" o:spid="_x0000_s2049" type="#_x0000_t136" alt="OPINIÓN PARTICULAR" style="position:absolute;left:0;text-align:left;margin-left:0;margin-top:0;width:534.95pt;height:94.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OPINIÓN PARTICULAR "/>
          <w10:wrap anchorx="margin" anchory="margin"/>
        </v:shape>
      </w:pict>
    </w:r>
  </w:p>
  <w:p w:rsidR="00D758BE" w:rsidRDefault="00720193" w:rsidP="007263BB">
    <w:pPr>
      <w:pStyle w:val="Encabezado"/>
      <w:jc w:val="right"/>
      <w:rPr>
        <w:rFonts w:ascii="Arial" w:hAnsi="Arial" w:cs="Arial"/>
        <w:sz w:val="20"/>
        <w:szCs w:val="20"/>
      </w:rPr>
    </w:pPr>
  </w:p>
  <w:p w:rsidR="00706042" w:rsidRPr="00563D0F" w:rsidRDefault="006556B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6556B5">
      <w:rPr>
        <w:rFonts w:ascii="Palatino Linotype" w:hAnsi="Palatino Linotype" w:cs="Arial"/>
        <w:b/>
        <w:sz w:val="20"/>
        <w:szCs w:val="20"/>
      </w:rPr>
      <w:t>4173</w:t>
    </w:r>
    <w:r w:rsidR="00897E24" w:rsidRPr="00897E24">
      <w:rPr>
        <w:rFonts w:ascii="Palatino Linotype" w:hAnsi="Palatino Linotype" w:cs="Arial"/>
        <w:b/>
        <w:sz w:val="20"/>
        <w:szCs w:val="20"/>
      </w:rPr>
      <w:t>/INFOEM/IP/RR/201</w:t>
    </w:r>
    <w:r w:rsidR="002A5208">
      <w:rPr>
        <w:rFonts w:ascii="Palatino Linotype" w:hAnsi="Palatino Linotype" w:cs="Arial"/>
        <w:b/>
        <w:sz w:val="20"/>
        <w:szCs w:val="20"/>
      </w:rPr>
      <w:t>8</w:t>
    </w:r>
    <w:r w:rsidR="005714BE">
      <w:rPr>
        <w:rFonts w:ascii="Palatino Linotype" w:hAnsi="Palatino Linotype" w:cs="Arial"/>
        <w:b/>
        <w:sz w:val="20"/>
        <w:szCs w:val="20"/>
      </w:rPr>
      <w:t xml:space="preserve"> </w:t>
    </w:r>
  </w:p>
  <w:p w:rsidR="00D758BE" w:rsidRDefault="00720193" w:rsidP="007263BB">
    <w:pPr>
      <w:pStyle w:val="Encabezado"/>
      <w:jc w:val="right"/>
      <w:rPr>
        <w:rFonts w:ascii="Palatino Linotype" w:hAnsi="Palatino Linotype" w:cs="Arial"/>
        <w:sz w:val="20"/>
        <w:szCs w:val="20"/>
      </w:rPr>
    </w:pPr>
  </w:p>
  <w:p w:rsidR="00233AB2" w:rsidRDefault="0072019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2019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812" o:spid="_x0000_s2051" type="#_x0000_t136" style="position:absolute;margin-left:0;margin-top:0;width:534.95pt;height:94.4pt;rotation:315;z-index:-251654144;mso-position-horizontal:center;mso-position-horizontal-relative:margin;mso-position-vertical:center;mso-position-vertical-relative:margin" o:allowincell="f" fillcolor="#c45911 [2405]" stroked="f">
          <v:fill opacity=".5"/>
          <v:textpath style="font-family:&quot;Calibri&quot;;font-size:1pt" string="OPINIÓN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13AEB"/>
    <w:rsid w:val="00031052"/>
    <w:rsid w:val="00041D4E"/>
    <w:rsid w:val="0005061C"/>
    <w:rsid w:val="00051C17"/>
    <w:rsid w:val="00053AFC"/>
    <w:rsid w:val="00057319"/>
    <w:rsid w:val="000607BA"/>
    <w:rsid w:val="00067471"/>
    <w:rsid w:val="00070D26"/>
    <w:rsid w:val="00071225"/>
    <w:rsid w:val="000851D9"/>
    <w:rsid w:val="00085EFF"/>
    <w:rsid w:val="000D5063"/>
    <w:rsid w:val="000E44AD"/>
    <w:rsid w:val="00116133"/>
    <w:rsid w:val="00127955"/>
    <w:rsid w:val="00132EFB"/>
    <w:rsid w:val="00144A42"/>
    <w:rsid w:val="00155046"/>
    <w:rsid w:val="001822F4"/>
    <w:rsid w:val="001A79E1"/>
    <w:rsid w:val="001A7A16"/>
    <w:rsid w:val="001A7C78"/>
    <w:rsid w:val="001B39E3"/>
    <w:rsid w:val="001C4F6B"/>
    <w:rsid w:val="001E258D"/>
    <w:rsid w:val="001E28B6"/>
    <w:rsid w:val="001E7439"/>
    <w:rsid w:val="001F4B72"/>
    <w:rsid w:val="002107AC"/>
    <w:rsid w:val="00215353"/>
    <w:rsid w:val="00237368"/>
    <w:rsid w:val="0026594A"/>
    <w:rsid w:val="002821B5"/>
    <w:rsid w:val="00292C17"/>
    <w:rsid w:val="00292D40"/>
    <w:rsid w:val="002A5208"/>
    <w:rsid w:val="002A5ADD"/>
    <w:rsid w:val="002A6359"/>
    <w:rsid w:val="002B3FA8"/>
    <w:rsid w:val="002B4286"/>
    <w:rsid w:val="002D4C80"/>
    <w:rsid w:val="002E161C"/>
    <w:rsid w:val="002F0125"/>
    <w:rsid w:val="00310CF6"/>
    <w:rsid w:val="00324209"/>
    <w:rsid w:val="00334F64"/>
    <w:rsid w:val="00335939"/>
    <w:rsid w:val="00343FED"/>
    <w:rsid w:val="0036408D"/>
    <w:rsid w:val="00370B6B"/>
    <w:rsid w:val="00376905"/>
    <w:rsid w:val="003A0061"/>
    <w:rsid w:val="003C37BD"/>
    <w:rsid w:val="003D59A7"/>
    <w:rsid w:val="003E7A3F"/>
    <w:rsid w:val="00405C7B"/>
    <w:rsid w:val="004339F2"/>
    <w:rsid w:val="00450147"/>
    <w:rsid w:val="00456467"/>
    <w:rsid w:val="00462661"/>
    <w:rsid w:val="00462F9C"/>
    <w:rsid w:val="00494FE5"/>
    <w:rsid w:val="004E047A"/>
    <w:rsid w:val="004E4151"/>
    <w:rsid w:val="004F7D00"/>
    <w:rsid w:val="00500270"/>
    <w:rsid w:val="00505F5A"/>
    <w:rsid w:val="005169BD"/>
    <w:rsid w:val="00521C03"/>
    <w:rsid w:val="005439FF"/>
    <w:rsid w:val="005507BF"/>
    <w:rsid w:val="00553E6C"/>
    <w:rsid w:val="005549ED"/>
    <w:rsid w:val="005714BE"/>
    <w:rsid w:val="005777C1"/>
    <w:rsid w:val="005C239D"/>
    <w:rsid w:val="005C6B76"/>
    <w:rsid w:val="005D066B"/>
    <w:rsid w:val="005F3256"/>
    <w:rsid w:val="005F4C0C"/>
    <w:rsid w:val="006214D7"/>
    <w:rsid w:val="00631FBA"/>
    <w:rsid w:val="00642D91"/>
    <w:rsid w:val="006551EF"/>
    <w:rsid w:val="006556B5"/>
    <w:rsid w:val="00666ED7"/>
    <w:rsid w:val="00677243"/>
    <w:rsid w:val="00680DD7"/>
    <w:rsid w:val="00682AEC"/>
    <w:rsid w:val="006906A8"/>
    <w:rsid w:val="00695251"/>
    <w:rsid w:val="0069604B"/>
    <w:rsid w:val="006975A6"/>
    <w:rsid w:val="006A6AF4"/>
    <w:rsid w:val="006A7F06"/>
    <w:rsid w:val="006C0C1C"/>
    <w:rsid w:val="006C2F7B"/>
    <w:rsid w:val="006C34A1"/>
    <w:rsid w:val="006E048C"/>
    <w:rsid w:val="006E2616"/>
    <w:rsid w:val="006F346D"/>
    <w:rsid w:val="0070725B"/>
    <w:rsid w:val="00720193"/>
    <w:rsid w:val="0073569E"/>
    <w:rsid w:val="00737416"/>
    <w:rsid w:val="007917A5"/>
    <w:rsid w:val="007B6EE5"/>
    <w:rsid w:val="007C6C71"/>
    <w:rsid w:val="007D7693"/>
    <w:rsid w:val="007F0FEE"/>
    <w:rsid w:val="00817AA2"/>
    <w:rsid w:val="00825DEC"/>
    <w:rsid w:val="00855197"/>
    <w:rsid w:val="00856631"/>
    <w:rsid w:val="0085760C"/>
    <w:rsid w:val="00871E3F"/>
    <w:rsid w:val="0087565D"/>
    <w:rsid w:val="00880AD9"/>
    <w:rsid w:val="00883ABB"/>
    <w:rsid w:val="00885F0E"/>
    <w:rsid w:val="00892DF4"/>
    <w:rsid w:val="00894E26"/>
    <w:rsid w:val="00897E24"/>
    <w:rsid w:val="008A21F8"/>
    <w:rsid w:val="008A4206"/>
    <w:rsid w:val="008D13D7"/>
    <w:rsid w:val="008D6858"/>
    <w:rsid w:val="008E2933"/>
    <w:rsid w:val="008E63B6"/>
    <w:rsid w:val="00902BEC"/>
    <w:rsid w:val="00907451"/>
    <w:rsid w:val="00956FEF"/>
    <w:rsid w:val="009611D3"/>
    <w:rsid w:val="00965A2E"/>
    <w:rsid w:val="009861E6"/>
    <w:rsid w:val="0098633B"/>
    <w:rsid w:val="009D4A3C"/>
    <w:rsid w:val="009F318F"/>
    <w:rsid w:val="00A01E1E"/>
    <w:rsid w:val="00A1161D"/>
    <w:rsid w:val="00A21005"/>
    <w:rsid w:val="00A44ECA"/>
    <w:rsid w:val="00A91596"/>
    <w:rsid w:val="00A97D60"/>
    <w:rsid w:val="00AA4906"/>
    <w:rsid w:val="00AA53B5"/>
    <w:rsid w:val="00AA7F33"/>
    <w:rsid w:val="00AB0909"/>
    <w:rsid w:val="00AB1BA5"/>
    <w:rsid w:val="00AC3ECC"/>
    <w:rsid w:val="00AD0389"/>
    <w:rsid w:val="00AD256B"/>
    <w:rsid w:val="00AE160A"/>
    <w:rsid w:val="00AF5B63"/>
    <w:rsid w:val="00B02DEB"/>
    <w:rsid w:val="00B06371"/>
    <w:rsid w:val="00B20DBA"/>
    <w:rsid w:val="00B22357"/>
    <w:rsid w:val="00B42E5B"/>
    <w:rsid w:val="00B54586"/>
    <w:rsid w:val="00B547F4"/>
    <w:rsid w:val="00B615F6"/>
    <w:rsid w:val="00B63E78"/>
    <w:rsid w:val="00B64C32"/>
    <w:rsid w:val="00B82B6A"/>
    <w:rsid w:val="00B95ED4"/>
    <w:rsid w:val="00BA3598"/>
    <w:rsid w:val="00BB72CD"/>
    <w:rsid w:val="00BD4026"/>
    <w:rsid w:val="00BE6B5D"/>
    <w:rsid w:val="00C31223"/>
    <w:rsid w:val="00C3452B"/>
    <w:rsid w:val="00C44E15"/>
    <w:rsid w:val="00C47969"/>
    <w:rsid w:val="00C6145E"/>
    <w:rsid w:val="00C73967"/>
    <w:rsid w:val="00CC5CDC"/>
    <w:rsid w:val="00CE4DA6"/>
    <w:rsid w:val="00CE565B"/>
    <w:rsid w:val="00CF1906"/>
    <w:rsid w:val="00CF29D2"/>
    <w:rsid w:val="00D32E4F"/>
    <w:rsid w:val="00D479B7"/>
    <w:rsid w:val="00D94893"/>
    <w:rsid w:val="00D9754B"/>
    <w:rsid w:val="00DA7657"/>
    <w:rsid w:val="00DB70E3"/>
    <w:rsid w:val="00DC2F2E"/>
    <w:rsid w:val="00DC734B"/>
    <w:rsid w:val="00DC752B"/>
    <w:rsid w:val="00DD6D0A"/>
    <w:rsid w:val="00E01DB5"/>
    <w:rsid w:val="00E139C6"/>
    <w:rsid w:val="00E14B35"/>
    <w:rsid w:val="00E20299"/>
    <w:rsid w:val="00E30FFD"/>
    <w:rsid w:val="00E358FB"/>
    <w:rsid w:val="00E35D2D"/>
    <w:rsid w:val="00E433E7"/>
    <w:rsid w:val="00E52F99"/>
    <w:rsid w:val="00E920D4"/>
    <w:rsid w:val="00EA3ADD"/>
    <w:rsid w:val="00EC695B"/>
    <w:rsid w:val="00F038AB"/>
    <w:rsid w:val="00F11F36"/>
    <w:rsid w:val="00F26BA7"/>
    <w:rsid w:val="00F33C81"/>
    <w:rsid w:val="00F466F2"/>
    <w:rsid w:val="00F71A88"/>
    <w:rsid w:val="00F76B05"/>
    <w:rsid w:val="00F91B56"/>
    <w:rsid w:val="00F966B7"/>
    <w:rsid w:val="00F97255"/>
    <w:rsid w:val="00FA13E1"/>
    <w:rsid w:val="00FA211D"/>
    <w:rsid w:val="00FC7442"/>
    <w:rsid w:val="00FD0DFE"/>
    <w:rsid w:val="00FD168F"/>
    <w:rsid w:val="00FD32BD"/>
    <w:rsid w:val="00FD3336"/>
    <w:rsid w:val="00FD3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43082D-FA4B-42B8-9393-06F1D259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2101</Words>
  <Characters>11558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2018-05-08T22:04:00Z</cp:lastPrinted>
  <dcterms:created xsi:type="dcterms:W3CDTF">2019-01-25T16:54:00Z</dcterms:created>
  <dcterms:modified xsi:type="dcterms:W3CDTF">2019-01-25T18:55:00Z</dcterms:modified>
</cp:coreProperties>
</file>